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D3724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简体" w:cs="Times New Roman"/>
          <w:color w:val="auto"/>
          <w:sz w:val="44"/>
          <w:szCs w:val="44"/>
        </w:rPr>
      </w:pPr>
    </w:p>
    <w:p w14:paraId="224FE2B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南通市海门区“十五五”</w:t>
      </w:r>
    </w:p>
    <w:p w14:paraId="569142F2">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加快农业农村现代化推进乡村全面振兴规划</w:t>
      </w:r>
    </w:p>
    <w:p w14:paraId="271E9BD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简体" w:cs="Times New Roman"/>
          <w:color w:val="auto"/>
          <w:kern w:val="2"/>
          <w:sz w:val="44"/>
          <w:szCs w:val="44"/>
        </w:rPr>
      </w:pPr>
      <w:r>
        <w:rPr>
          <w:rFonts w:hint="default" w:ascii="Times New Roman" w:hAnsi="Times New Roman" w:eastAsia="方正小标宋简体" w:cs="Times New Roman"/>
          <w:color w:val="auto"/>
          <w:kern w:val="2"/>
          <w:sz w:val="44"/>
          <w:szCs w:val="44"/>
          <w:lang w:eastAsia="zh-CN"/>
        </w:rPr>
        <w:t>（</w:t>
      </w:r>
      <w:r>
        <w:rPr>
          <w:rFonts w:hint="default" w:ascii="Times New Roman" w:hAnsi="Times New Roman" w:eastAsia="方正小标宋简体" w:cs="Times New Roman"/>
          <w:color w:val="auto"/>
          <w:kern w:val="2"/>
          <w:sz w:val="44"/>
          <w:szCs w:val="44"/>
        </w:rPr>
        <w:t>2026</w:t>
      </w:r>
      <w:r>
        <w:rPr>
          <w:rFonts w:hint="default" w:ascii="Times New Roman" w:hAnsi="Times New Roman" w:eastAsia="方正小标宋简体" w:cs="Times New Roman"/>
          <w:color w:val="auto"/>
          <w:kern w:val="2"/>
          <w:sz w:val="44"/>
          <w:szCs w:val="44"/>
          <w:lang w:eastAsia="zh-CN"/>
        </w:rPr>
        <w:t>—</w:t>
      </w:r>
      <w:r>
        <w:rPr>
          <w:rFonts w:hint="default" w:ascii="Times New Roman" w:hAnsi="Times New Roman" w:eastAsia="方正小标宋简体" w:cs="Times New Roman"/>
          <w:color w:val="auto"/>
          <w:kern w:val="2"/>
          <w:sz w:val="44"/>
          <w:szCs w:val="44"/>
        </w:rPr>
        <w:t>2030</w:t>
      </w:r>
      <w:r>
        <w:rPr>
          <w:rFonts w:hint="default" w:ascii="Times New Roman" w:hAnsi="Times New Roman" w:eastAsia="方正小标宋简体" w:cs="Times New Roman"/>
          <w:color w:val="auto"/>
          <w:sz w:val="44"/>
          <w:szCs w:val="44"/>
          <w:lang w:val="en-US" w:eastAsia="zh-CN" w:bidi="ar-SA"/>
        </w:rPr>
        <w:t>年</w:t>
      </w:r>
      <w:r>
        <w:rPr>
          <w:rFonts w:hint="default" w:ascii="Times New Roman" w:hAnsi="Times New Roman" w:eastAsia="方正小标宋简体" w:cs="Times New Roman"/>
          <w:color w:val="auto"/>
          <w:kern w:val="2"/>
          <w:sz w:val="44"/>
          <w:szCs w:val="44"/>
          <w:lang w:eastAsia="zh-CN"/>
        </w:rPr>
        <w:t>）</w:t>
      </w:r>
    </w:p>
    <w:p w14:paraId="66C4424C">
      <w:pPr>
        <w:keepNext w:val="0"/>
        <w:keepLines w:val="0"/>
        <w:pageBreakBefore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color w:val="auto"/>
        </w:rPr>
      </w:pPr>
    </w:p>
    <w:p w14:paraId="6B469E61">
      <w:pPr>
        <w:keepNext w:val="0"/>
        <w:keepLines w:val="0"/>
        <w:pageBreakBefore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微软雅黑" w:cs="Times New Roman"/>
          <w:color w:val="auto"/>
          <w:sz w:val="30"/>
          <w:szCs w:val="30"/>
        </w:rPr>
      </w:pPr>
    </w:p>
    <w:p w14:paraId="4EB0E79C">
      <w:pPr>
        <w:keepNext w:val="0"/>
        <w:keepLines w:val="0"/>
        <w:pageBreakBefore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黑体" w:cs="Times New Roman"/>
          <w:strike/>
          <w:dstrike w:val="0"/>
          <w:color w:val="auto"/>
          <w:sz w:val="30"/>
          <w:szCs w:val="30"/>
        </w:rPr>
      </w:pPr>
    </w:p>
    <w:p w14:paraId="4DD61169">
      <w:pPr>
        <w:pageBreakBefore w:val="0"/>
        <w:wordWrap/>
        <w:overflowPunct/>
        <w:topLinePunct w:val="0"/>
        <w:bidi w:val="0"/>
        <w:spacing w:line="360" w:lineRule="auto"/>
        <w:ind w:left="0" w:leftChars="0"/>
        <w:jc w:val="both"/>
        <w:rPr>
          <w:rFonts w:hint="default" w:ascii="Times New Roman" w:hAnsi="Times New Roman" w:eastAsia="宋体" w:cs="Times New Roman"/>
          <w:strike/>
          <w:dstrike w:val="0"/>
          <w:color w:val="auto"/>
          <w:kern w:val="2"/>
          <w:sz w:val="21"/>
        </w:rPr>
        <w:sectPr>
          <w:pgSz w:w="11906" w:h="16838"/>
          <w:pgMar w:top="2098" w:right="1474" w:bottom="1814" w:left="1587" w:header="510" w:footer="1474" w:gutter="0"/>
          <w:pgNumType w:fmt="decimal" w:start="1"/>
          <w:cols w:space="0" w:num="1"/>
          <w:rtlGutter w:val="0"/>
          <w:docGrid w:type="lines" w:linePitch="326" w:charSpace="0"/>
        </w:sectPr>
      </w:pPr>
    </w:p>
    <w:sdt>
      <w:sdtPr>
        <w:rPr>
          <w:rFonts w:hint="default" w:ascii="Times New Roman" w:hAnsi="Times New Roman" w:eastAsia="宋体" w:cs="Times New Roman"/>
          <w:color w:val="auto"/>
          <w:kern w:val="2"/>
          <w:sz w:val="21"/>
        </w:rPr>
        <w:id w:val="734495766"/>
        <w15:color w:val="DBDBDB"/>
        <w:docPartObj>
          <w:docPartGallery w:val="Table of Contents"/>
          <w:docPartUnique/>
        </w:docPartObj>
      </w:sdtPr>
      <w:sdtEndPr>
        <w:rPr>
          <w:rFonts w:hint="default" w:ascii="Times New Roman" w:hAnsi="Times New Roman" w:eastAsia="宋体" w:cs="Times New Roman"/>
          <w:color w:val="auto"/>
          <w:kern w:val="2"/>
          <w:sz w:val="21"/>
          <w:shd w:val="clear" w:color="auto" w:fill="FFFFFF"/>
        </w:rPr>
      </w:sdtEndPr>
      <w:sdtContent>
        <w:p w14:paraId="799E67B1">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cs="Times New Roman"/>
              <w:color w:val="auto"/>
              <w:sz w:val="44"/>
              <w:szCs w:val="44"/>
            </w:rPr>
          </w:pPr>
          <w:r>
            <w:rPr>
              <w:rFonts w:hint="default" w:ascii="Times New Roman" w:hAnsi="Times New Roman" w:eastAsia="黑体" w:cs="Times New Roman"/>
              <w:color w:val="auto"/>
              <w:sz w:val="44"/>
              <w:szCs w:val="44"/>
            </w:rPr>
            <w:t>目</w:t>
          </w:r>
          <w:r>
            <w:rPr>
              <w:rFonts w:hint="default" w:ascii="Times New Roman" w:hAnsi="Times New Roman" w:eastAsia="黑体" w:cs="Times New Roman"/>
              <w:color w:val="auto"/>
              <w:sz w:val="44"/>
              <w:szCs w:val="44"/>
              <w:lang w:val="en-US" w:eastAsia="zh-CN"/>
            </w:rPr>
            <w:t xml:space="preserve"> </w:t>
          </w:r>
          <w:r>
            <w:rPr>
              <w:rFonts w:hint="default" w:ascii="Times New Roman" w:hAnsi="Times New Roman" w:eastAsia="黑体" w:cs="Times New Roman"/>
              <w:color w:val="auto"/>
              <w:sz w:val="44"/>
              <w:szCs w:val="44"/>
            </w:rPr>
            <w:t xml:space="preserve"> 录</w:t>
          </w:r>
        </w:p>
        <w:p w14:paraId="79D28CF1">
          <w:pPr>
            <w:pStyle w:val="16"/>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TOC \o "1-4" \h \u </w:instrText>
          </w:r>
          <w:r>
            <w:rPr>
              <w:rFonts w:hint="default" w:ascii="Times New Roman" w:hAnsi="Times New Roman" w:cs="Times New Roman"/>
              <w:color w:val="auto"/>
            </w:rPr>
            <w:fldChar w:fldCharType="separate"/>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_Toc13437 </w:instrText>
          </w:r>
          <w:r>
            <w:rPr>
              <w:rFonts w:hint="default" w:ascii="Times New Roman" w:hAnsi="Times New Roman" w:cs="Times New Roman"/>
              <w:color w:val="auto"/>
            </w:rPr>
            <w:fldChar w:fldCharType="separate"/>
          </w:r>
          <w:r>
            <w:rPr>
              <w:rFonts w:hint="default" w:ascii="Times New Roman" w:hAnsi="Times New Roman" w:eastAsia="黑体" w:cs="Times New Roman"/>
              <w:color w:val="auto"/>
            </w:rPr>
            <w:t>第一章 规划依据和总体要求</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_Toc13437 \h </w:instrText>
          </w:r>
          <w:r>
            <w:rPr>
              <w:rFonts w:ascii="Times New Roman" w:hAnsi="Times New Roman"/>
              <w:color w:val="auto"/>
            </w:rPr>
            <w:fldChar w:fldCharType="separate"/>
          </w:r>
          <w:r>
            <w:rPr>
              <w:rFonts w:ascii="Times New Roman" w:hAnsi="Times New Roman"/>
              <w:color w:val="auto"/>
            </w:rPr>
            <w:t>1</w:t>
          </w:r>
          <w:r>
            <w:rPr>
              <w:rFonts w:ascii="Times New Roman" w:hAnsi="Times New Roman"/>
              <w:color w:val="auto"/>
            </w:rPr>
            <w:fldChar w:fldCharType="end"/>
          </w:r>
          <w:r>
            <w:rPr>
              <w:rFonts w:hint="default" w:ascii="Times New Roman" w:hAnsi="Times New Roman" w:cs="Times New Roman"/>
              <w:color w:val="auto"/>
            </w:rPr>
            <w:fldChar w:fldCharType="end"/>
          </w:r>
        </w:p>
        <w:p w14:paraId="64489702">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HYPERLINK \l _Toc444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一、规划依据</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_Toc444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2</w:t>
          </w:r>
          <w:r>
            <w:rPr>
              <w:rFonts w:hint="eastAsia" w:ascii="Times New Roman" w:hAnsi="Times New Roman" w:eastAsia="楷体_GB2312" w:cs="楷体_GB2312"/>
              <w:color w:val="auto"/>
            </w:rPr>
            <w:fldChar w:fldCharType="end"/>
          </w:r>
          <w:r>
            <w:rPr>
              <w:rFonts w:hint="eastAsia" w:ascii="Times New Roman" w:hAnsi="Times New Roman" w:eastAsia="楷体_GB2312" w:cs="楷体_GB2312"/>
              <w:color w:val="auto"/>
            </w:rPr>
            <w:fldChar w:fldCharType="end"/>
          </w:r>
        </w:p>
        <w:p w14:paraId="4F5E7AC2">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_Toc14380 </w:instrText>
          </w:r>
          <w:r>
            <w:rPr>
              <w:rFonts w:hint="default" w:ascii="Times New Roman" w:hAnsi="Times New Roman" w:cs="Times New Roman"/>
              <w:color w:val="auto"/>
            </w:rPr>
            <w:fldChar w:fldCharType="separate"/>
          </w:r>
          <w:r>
            <w:rPr>
              <w:rFonts w:hint="default" w:ascii="Times New Roman" w:hAnsi="Times New Roman" w:cs="Times New Roman"/>
              <w:color w:val="auto"/>
            </w:rPr>
            <w:t>（一）发展基础</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_Toc14380 \h </w:instrText>
          </w:r>
          <w:r>
            <w:rPr>
              <w:rFonts w:ascii="Times New Roman" w:hAnsi="Times New Roman"/>
              <w:color w:val="auto"/>
            </w:rPr>
            <w:fldChar w:fldCharType="separate"/>
          </w:r>
          <w:r>
            <w:rPr>
              <w:rFonts w:ascii="Times New Roman" w:hAnsi="Times New Roman"/>
              <w:color w:val="auto"/>
            </w:rPr>
            <w:t>2</w:t>
          </w:r>
          <w:r>
            <w:rPr>
              <w:rFonts w:ascii="Times New Roman" w:hAnsi="Times New Roman"/>
              <w:color w:val="auto"/>
            </w:rPr>
            <w:fldChar w:fldCharType="end"/>
          </w:r>
          <w:r>
            <w:rPr>
              <w:rFonts w:hint="default" w:ascii="Times New Roman" w:hAnsi="Times New Roman" w:cs="Times New Roman"/>
              <w:color w:val="auto"/>
            </w:rPr>
            <w:fldChar w:fldCharType="end"/>
          </w:r>
        </w:p>
        <w:p w14:paraId="2CA3117B">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_Toc29895 </w:instrText>
          </w:r>
          <w:r>
            <w:rPr>
              <w:rFonts w:hint="default" w:ascii="Times New Roman" w:hAnsi="Times New Roman" w:cs="Times New Roman"/>
              <w:color w:val="auto"/>
            </w:rPr>
            <w:fldChar w:fldCharType="separate"/>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二</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存在不足</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_Toc29895 \h </w:instrText>
          </w:r>
          <w:r>
            <w:rPr>
              <w:rFonts w:ascii="Times New Roman" w:hAnsi="Times New Roman"/>
              <w:color w:val="auto"/>
            </w:rPr>
            <w:fldChar w:fldCharType="separate"/>
          </w:r>
          <w:r>
            <w:rPr>
              <w:rFonts w:ascii="Times New Roman" w:hAnsi="Times New Roman"/>
              <w:color w:val="auto"/>
            </w:rPr>
            <w:t>7</w:t>
          </w:r>
          <w:r>
            <w:rPr>
              <w:rFonts w:ascii="Times New Roman" w:hAnsi="Times New Roman"/>
              <w:color w:val="auto"/>
            </w:rPr>
            <w:fldChar w:fldCharType="end"/>
          </w:r>
          <w:r>
            <w:rPr>
              <w:rFonts w:hint="default" w:ascii="Times New Roman" w:hAnsi="Times New Roman" w:cs="Times New Roman"/>
              <w:color w:val="auto"/>
            </w:rPr>
            <w:fldChar w:fldCharType="end"/>
          </w:r>
        </w:p>
        <w:p w14:paraId="5347E784">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_Toc12256 </w:instrText>
          </w:r>
          <w:r>
            <w:rPr>
              <w:rFonts w:hint="default" w:ascii="Times New Roman" w:hAnsi="Times New Roman" w:cs="Times New Roman"/>
              <w:color w:val="auto"/>
            </w:rPr>
            <w:fldChar w:fldCharType="separate"/>
          </w:r>
          <w:r>
            <w:rPr>
              <w:rFonts w:hint="default" w:ascii="Times New Roman" w:hAnsi="Times New Roman" w:cs="Times New Roman"/>
              <w:color w:val="auto"/>
            </w:rPr>
            <w:t>（</w:t>
          </w:r>
          <w:r>
            <w:rPr>
              <w:rFonts w:hint="default" w:ascii="Times New Roman" w:hAnsi="Times New Roman" w:cs="Times New Roman"/>
              <w:color w:val="auto"/>
              <w:lang w:val="en-US" w:eastAsia="zh-CN"/>
            </w:rPr>
            <w:t>三</w:t>
          </w:r>
          <w:r>
            <w:rPr>
              <w:rFonts w:hint="default" w:ascii="Times New Roman" w:hAnsi="Times New Roman" w:cs="Times New Roman"/>
              <w:color w:val="auto"/>
            </w:rPr>
            <w:t>）机遇</w:t>
          </w:r>
          <w:r>
            <w:rPr>
              <w:rFonts w:hint="default" w:ascii="Times New Roman" w:hAnsi="Times New Roman" w:cs="Times New Roman"/>
              <w:color w:val="auto"/>
              <w:lang w:eastAsia="zh-CN"/>
            </w:rPr>
            <w:t>与挑战</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_Toc12256 \h </w:instrText>
          </w:r>
          <w:r>
            <w:rPr>
              <w:rFonts w:ascii="Times New Roman" w:hAnsi="Times New Roman"/>
              <w:color w:val="auto"/>
            </w:rPr>
            <w:fldChar w:fldCharType="separate"/>
          </w:r>
          <w:r>
            <w:rPr>
              <w:rFonts w:ascii="Times New Roman" w:hAnsi="Times New Roman"/>
              <w:color w:val="auto"/>
            </w:rPr>
            <w:t>9</w:t>
          </w:r>
          <w:r>
            <w:rPr>
              <w:rFonts w:ascii="Times New Roman" w:hAnsi="Times New Roman"/>
              <w:color w:val="auto"/>
            </w:rPr>
            <w:fldChar w:fldCharType="end"/>
          </w:r>
          <w:r>
            <w:rPr>
              <w:rFonts w:hint="default" w:ascii="Times New Roman" w:hAnsi="Times New Roman" w:cs="Times New Roman"/>
              <w:color w:val="auto"/>
            </w:rPr>
            <w:fldChar w:fldCharType="end"/>
          </w:r>
        </w:p>
        <w:p w14:paraId="0153F4D1">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_Toc14790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rPr>
            <w:t>二、总体</w:t>
          </w:r>
          <w:r>
            <w:rPr>
              <w:rFonts w:hint="default" w:ascii="Times New Roman" w:hAnsi="Times New Roman" w:eastAsia="楷体_GB2312" w:cs="楷体_GB2312"/>
              <w:color w:val="auto"/>
              <w:lang w:eastAsia="zh-CN"/>
            </w:rPr>
            <w:t>战略</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_Toc14790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12</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023EA78C">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_Toc180 </w:instrText>
          </w:r>
          <w:r>
            <w:rPr>
              <w:rFonts w:hint="default" w:ascii="Times New Roman" w:hAnsi="Times New Roman" w:cs="Times New Roman"/>
              <w:color w:val="auto"/>
            </w:rPr>
            <w:fldChar w:fldCharType="separate"/>
          </w:r>
          <w:r>
            <w:rPr>
              <w:rFonts w:hint="default" w:ascii="Times New Roman" w:hAnsi="Times New Roman" w:cs="Times New Roman"/>
              <w:color w:val="auto"/>
            </w:rPr>
            <w:t>（一）指导思想</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_Toc180 \h </w:instrText>
          </w:r>
          <w:r>
            <w:rPr>
              <w:rFonts w:ascii="Times New Roman" w:hAnsi="Times New Roman"/>
              <w:color w:val="auto"/>
            </w:rPr>
            <w:fldChar w:fldCharType="separate"/>
          </w:r>
          <w:r>
            <w:rPr>
              <w:rFonts w:ascii="Times New Roman" w:hAnsi="Times New Roman"/>
              <w:color w:val="auto"/>
            </w:rPr>
            <w:t>12</w:t>
          </w:r>
          <w:r>
            <w:rPr>
              <w:rFonts w:ascii="Times New Roman" w:hAnsi="Times New Roman"/>
              <w:color w:val="auto"/>
            </w:rPr>
            <w:fldChar w:fldCharType="end"/>
          </w:r>
          <w:r>
            <w:rPr>
              <w:rFonts w:hint="default" w:ascii="Times New Roman" w:hAnsi="Times New Roman" w:cs="Times New Roman"/>
              <w:color w:val="auto"/>
            </w:rPr>
            <w:fldChar w:fldCharType="end"/>
          </w:r>
        </w:p>
        <w:p w14:paraId="3BF15631">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_Toc31607 </w:instrText>
          </w:r>
          <w:r>
            <w:rPr>
              <w:rFonts w:hint="default" w:ascii="Times New Roman" w:hAnsi="Times New Roman" w:cs="Times New Roman"/>
              <w:color w:val="auto"/>
            </w:rPr>
            <w:fldChar w:fldCharType="separate"/>
          </w:r>
          <w:r>
            <w:rPr>
              <w:rFonts w:hint="default" w:ascii="Times New Roman" w:hAnsi="Times New Roman" w:cs="Times New Roman"/>
              <w:color w:val="auto"/>
            </w:rPr>
            <w:t>（二）基本原则</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_Toc31607 \h </w:instrText>
          </w:r>
          <w:r>
            <w:rPr>
              <w:rFonts w:ascii="Times New Roman" w:hAnsi="Times New Roman"/>
              <w:color w:val="auto"/>
            </w:rPr>
            <w:fldChar w:fldCharType="separate"/>
          </w:r>
          <w:r>
            <w:rPr>
              <w:rFonts w:ascii="Times New Roman" w:hAnsi="Times New Roman"/>
              <w:color w:val="auto"/>
            </w:rPr>
            <w:t>12</w:t>
          </w:r>
          <w:r>
            <w:rPr>
              <w:rFonts w:ascii="Times New Roman" w:hAnsi="Times New Roman"/>
              <w:color w:val="auto"/>
            </w:rPr>
            <w:fldChar w:fldCharType="end"/>
          </w:r>
          <w:r>
            <w:rPr>
              <w:rFonts w:hint="default" w:ascii="Times New Roman" w:hAnsi="Times New Roman" w:cs="Times New Roman"/>
              <w:color w:val="auto"/>
            </w:rPr>
            <w:fldChar w:fldCharType="end"/>
          </w:r>
        </w:p>
        <w:p w14:paraId="632275B3">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_Toc25651 </w:instrText>
          </w:r>
          <w:r>
            <w:rPr>
              <w:rFonts w:hint="default" w:ascii="Times New Roman" w:hAnsi="Times New Roman" w:cs="Times New Roman"/>
              <w:color w:val="auto"/>
            </w:rPr>
            <w:fldChar w:fldCharType="separate"/>
          </w:r>
          <w:r>
            <w:rPr>
              <w:rFonts w:hint="default" w:ascii="Times New Roman" w:hAnsi="Times New Roman" w:cs="Times New Roman"/>
              <w:color w:val="auto"/>
            </w:rPr>
            <w:t>（三）总体目标</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_Toc25651 \h </w:instrText>
          </w:r>
          <w:r>
            <w:rPr>
              <w:rFonts w:ascii="Times New Roman" w:hAnsi="Times New Roman"/>
              <w:color w:val="auto"/>
            </w:rPr>
            <w:fldChar w:fldCharType="separate"/>
          </w:r>
          <w:r>
            <w:rPr>
              <w:rFonts w:ascii="Times New Roman" w:hAnsi="Times New Roman"/>
              <w:color w:val="auto"/>
            </w:rPr>
            <w:t>13</w:t>
          </w:r>
          <w:r>
            <w:rPr>
              <w:rFonts w:ascii="Times New Roman" w:hAnsi="Times New Roman"/>
              <w:color w:val="auto"/>
            </w:rPr>
            <w:fldChar w:fldCharType="end"/>
          </w:r>
          <w:r>
            <w:rPr>
              <w:rFonts w:hint="default" w:ascii="Times New Roman" w:hAnsi="Times New Roman" w:cs="Times New Roman"/>
              <w:color w:val="auto"/>
            </w:rPr>
            <w:fldChar w:fldCharType="end"/>
          </w:r>
        </w:p>
        <w:p w14:paraId="2EEF942C">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_Toc2015 </w:instrText>
          </w:r>
          <w:r>
            <w:rPr>
              <w:rFonts w:hint="default" w:ascii="Times New Roman" w:hAnsi="Times New Roman" w:cs="Times New Roman"/>
              <w:color w:val="auto"/>
            </w:rPr>
            <w:fldChar w:fldCharType="separate"/>
          </w:r>
          <w:r>
            <w:rPr>
              <w:rFonts w:hint="default" w:ascii="Times New Roman" w:hAnsi="Times New Roman" w:eastAsia="楷体_GB2312" w:cs="Times New Roman"/>
              <w:color w:val="auto"/>
              <w:szCs w:val="24"/>
              <w:lang w:val="en-US" w:eastAsia="zh-CN" w:bidi="ar-SA"/>
            </w:rPr>
            <w:t>（四）</w:t>
          </w:r>
          <w:r>
            <w:rPr>
              <w:rFonts w:hint="default" w:ascii="Times New Roman" w:hAnsi="Times New Roman" w:cs="Times New Roman"/>
              <w:color w:val="auto"/>
            </w:rPr>
            <w:t>指标</w:t>
          </w:r>
          <w:r>
            <w:rPr>
              <w:rFonts w:hint="default" w:ascii="Times New Roman" w:hAnsi="Times New Roman" w:cs="Times New Roman"/>
              <w:color w:val="auto"/>
              <w:lang w:val="en-US" w:eastAsia="zh-CN"/>
            </w:rPr>
            <w:t>体系</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_Toc2015 \h </w:instrText>
          </w:r>
          <w:r>
            <w:rPr>
              <w:rFonts w:ascii="Times New Roman" w:hAnsi="Times New Roman"/>
              <w:color w:val="auto"/>
            </w:rPr>
            <w:fldChar w:fldCharType="separate"/>
          </w:r>
          <w:r>
            <w:rPr>
              <w:rFonts w:ascii="Times New Roman" w:hAnsi="Times New Roman"/>
              <w:color w:val="auto"/>
            </w:rPr>
            <w:t>14</w:t>
          </w:r>
          <w:r>
            <w:rPr>
              <w:rFonts w:ascii="Times New Roman" w:hAnsi="Times New Roman"/>
              <w:color w:val="auto"/>
            </w:rPr>
            <w:fldChar w:fldCharType="end"/>
          </w:r>
          <w:r>
            <w:rPr>
              <w:rFonts w:hint="default" w:ascii="Times New Roman" w:hAnsi="Times New Roman" w:cs="Times New Roman"/>
              <w:color w:val="auto"/>
            </w:rPr>
            <w:fldChar w:fldCharType="end"/>
          </w:r>
        </w:p>
        <w:p w14:paraId="63797189">
          <w:pPr>
            <w:pStyle w:val="16"/>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_Toc2158 </w:instrText>
          </w:r>
          <w:r>
            <w:rPr>
              <w:rFonts w:hint="default" w:ascii="Times New Roman" w:hAnsi="Times New Roman" w:cs="Times New Roman"/>
              <w:color w:val="auto"/>
            </w:rPr>
            <w:fldChar w:fldCharType="separate"/>
          </w:r>
          <w:r>
            <w:rPr>
              <w:rFonts w:hint="default" w:ascii="Times New Roman" w:hAnsi="Times New Roman" w:eastAsia="黑体" w:cs="Times New Roman"/>
              <w:color w:val="auto"/>
            </w:rPr>
            <w:t xml:space="preserve">第二章 发展新质生产力 </w:t>
          </w:r>
          <w:r>
            <w:rPr>
              <w:rFonts w:hint="default" w:ascii="Times New Roman" w:hAnsi="Times New Roman" w:eastAsia="黑体" w:cs="Times New Roman"/>
              <w:color w:val="auto"/>
              <w:lang w:val="en-US" w:eastAsia="zh-CN"/>
            </w:rPr>
            <w:t>实现</w:t>
          </w:r>
          <w:r>
            <w:rPr>
              <w:rFonts w:hint="default" w:ascii="Times New Roman" w:hAnsi="Times New Roman" w:eastAsia="黑体" w:cs="Times New Roman"/>
              <w:color w:val="auto"/>
              <w:lang w:eastAsia="zh-CN"/>
            </w:rPr>
            <w:t>“</w:t>
          </w:r>
          <w:r>
            <w:rPr>
              <w:rFonts w:hint="default" w:ascii="Times New Roman" w:hAnsi="Times New Roman" w:eastAsia="黑体" w:cs="Times New Roman"/>
              <w:color w:val="auto"/>
            </w:rPr>
            <w:t>农业</w:t>
          </w:r>
          <w:r>
            <w:rPr>
              <w:rFonts w:hint="default" w:ascii="Times New Roman" w:hAnsi="Times New Roman" w:eastAsia="黑体" w:cs="Times New Roman"/>
              <w:color w:val="auto"/>
              <w:lang w:eastAsia="zh-CN"/>
            </w:rPr>
            <w:t>更</w:t>
          </w:r>
          <w:r>
            <w:rPr>
              <w:rFonts w:hint="default" w:ascii="Times New Roman" w:hAnsi="Times New Roman" w:eastAsia="黑体" w:cs="Times New Roman"/>
              <w:color w:val="auto"/>
            </w:rPr>
            <w:t>强</w:t>
          </w:r>
          <w:r>
            <w:rPr>
              <w:rFonts w:hint="default" w:ascii="Times New Roman" w:hAnsi="Times New Roman" w:eastAsia="黑体" w:cs="Times New Roman"/>
              <w:color w:val="auto"/>
              <w:lang w:eastAsia="zh-CN"/>
            </w:rPr>
            <w:t>”</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_Toc2158 \h </w:instrText>
          </w:r>
          <w:r>
            <w:rPr>
              <w:rFonts w:ascii="Times New Roman" w:hAnsi="Times New Roman"/>
              <w:color w:val="auto"/>
            </w:rPr>
            <w:fldChar w:fldCharType="separate"/>
          </w:r>
          <w:r>
            <w:rPr>
              <w:rFonts w:ascii="Times New Roman" w:hAnsi="Times New Roman"/>
              <w:color w:val="auto"/>
            </w:rPr>
            <w:t>17</w:t>
          </w:r>
          <w:r>
            <w:rPr>
              <w:rFonts w:ascii="Times New Roman" w:hAnsi="Times New Roman"/>
              <w:color w:val="auto"/>
            </w:rPr>
            <w:fldChar w:fldCharType="end"/>
          </w:r>
          <w:r>
            <w:rPr>
              <w:rFonts w:hint="default" w:ascii="Times New Roman" w:hAnsi="Times New Roman" w:cs="Times New Roman"/>
              <w:color w:val="auto"/>
            </w:rPr>
            <w:fldChar w:fldCharType="end"/>
          </w:r>
        </w:p>
        <w:p w14:paraId="63DFA9B6">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hint="eastAsia" w:ascii="Times New Roman" w:hAnsi="Times New Roman" w:eastAsia="楷体_GB2312" w:cs="楷体_GB2312"/>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_Toc29822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rPr>
            <w:t>一、</w:t>
          </w:r>
          <w:r>
            <w:rPr>
              <w:rFonts w:hint="default" w:ascii="Times New Roman" w:hAnsi="Times New Roman" w:eastAsia="楷体_GB2312" w:cs="楷体_GB2312"/>
              <w:color w:val="auto"/>
              <w:lang w:val="en-US" w:eastAsia="zh-CN"/>
            </w:rPr>
            <w:t>筑牢粮食安全根基 提升稳产保供能力</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_Toc29822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17</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144E1065">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_Toc5577 </w:instrText>
          </w:r>
          <w:r>
            <w:rPr>
              <w:rFonts w:hint="default" w:ascii="Times New Roman" w:hAnsi="Times New Roman" w:cs="Times New Roman"/>
              <w:color w:val="auto"/>
            </w:rPr>
            <w:fldChar w:fldCharType="separate"/>
          </w:r>
          <w:r>
            <w:rPr>
              <w:rFonts w:hint="default" w:ascii="Times New Roman" w:hAnsi="Times New Roman" w:cs="Times New Roman"/>
              <w:color w:val="auto"/>
            </w:rPr>
            <w:t>（一）</w:t>
          </w:r>
          <w:r>
            <w:rPr>
              <w:rFonts w:hint="default" w:ascii="Times New Roman" w:hAnsi="Times New Roman" w:cs="Times New Roman"/>
              <w:color w:val="auto"/>
              <w:lang w:val="en-US" w:eastAsia="zh-CN"/>
            </w:rPr>
            <w:t>压紧压实粮食安全政治责任</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_Toc5577 \h </w:instrText>
          </w:r>
          <w:r>
            <w:rPr>
              <w:rFonts w:ascii="Times New Roman" w:hAnsi="Times New Roman"/>
              <w:color w:val="auto"/>
            </w:rPr>
            <w:fldChar w:fldCharType="separate"/>
          </w:r>
          <w:r>
            <w:rPr>
              <w:rFonts w:ascii="Times New Roman" w:hAnsi="Times New Roman"/>
              <w:color w:val="auto"/>
            </w:rPr>
            <w:t>17</w:t>
          </w:r>
          <w:r>
            <w:rPr>
              <w:rFonts w:ascii="Times New Roman" w:hAnsi="Times New Roman"/>
              <w:color w:val="auto"/>
            </w:rPr>
            <w:fldChar w:fldCharType="end"/>
          </w:r>
          <w:r>
            <w:rPr>
              <w:rFonts w:hint="default" w:ascii="Times New Roman" w:hAnsi="Times New Roman" w:cs="Times New Roman"/>
              <w:color w:val="auto"/>
            </w:rPr>
            <w:fldChar w:fldCharType="end"/>
          </w:r>
        </w:p>
        <w:p w14:paraId="2ECE75E5">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_Toc13667 </w:instrText>
          </w:r>
          <w:r>
            <w:rPr>
              <w:rFonts w:hint="default" w:ascii="Times New Roman" w:hAnsi="Times New Roman" w:cs="Times New Roman"/>
              <w:color w:val="auto"/>
            </w:rPr>
            <w:fldChar w:fldCharType="separate"/>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二</w:t>
          </w:r>
          <w:r>
            <w:rPr>
              <w:rFonts w:hint="default" w:ascii="Times New Roman" w:hAnsi="Times New Roman" w:cs="Times New Roman"/>
              <w:color w:val="auto"/>
              <w:lang w:eastAsia="zh-CN"/>
            </w:rPr>
            <w:t>）</w:t>
          </w:r>
          <w:r>
            <w:rPr>
              <w:rFonts w:hint="default" w:ascii="Times New Roman" w:hAnsi="Times New Roman" w:cs="Times New Roman"/>
              <w:color w:val="auto"/>
            </w:rPr>
            <w:t>完善粮食等重要物资市场流通体系</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_Toc13667 \h </w:instrText>
          </w:r>
          <w:r>
            <w:rPr>
              <w:rFonts w:ascii="Times New Roman" w:hAnsi="Times New Roman"/>
              <w:color w:val="auto"/>
            </w:rPr>
            <w:fldChar w:fldCharType="separate"/>
          </w:r>
          <w:r>
            <w:rPr>
              <w:rFonts w:ascii="Times New Roman" w:hAnsi="Times New Roman"/>
              <w:color w:val="auto"/>
            </w:rPr>
            <w:t>18</w:t>
          </w:r>
          <w:r>
            <w:rPr>
              <w:rFonts w:ascii="Times New Roman" w:hAnsi="Times New Roman"/>
              <w:color w:val="auto"/>
            </w:rPr>
            <w:fldChar w:fldCharType="end"/>
          </w:r>
          <w:r>
            <w:rPr>
              <w:rFonts w:hint="default" w:ascii="Times New Roman" w:hAnsi="Times New Roman" w:cs="Times New Roman"/>
              <w:color w:val="auto"/>
            </w:rPr>
            <w:fldChar w:fldCharType="end"/>
          </w:r>
        </w:p>
        <w:p w14:paraId="109DA6B0">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_Toc28756 </w:instrText>
          </w:r>
          <w:r>
            <w:rPr>
              <w:rFonts w:hint="default" w:ascii="Times New Roman" w:hAnsi="Times New Roman" w:cs="Times New Roman"/>
              <w:color w:val="auto"/>
            </w:rPr>
            <w:fldChar w:fldCharType="separate"/>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三</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构建多元化食物供给体系</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_Toc28756 \h </w:instrText>
          </w:r>
          <w:r>
            <w:rPr>
              <w:rFonts w:ascii="Times New Roman" w:hAnsi="Times New Roman"/>
              <w:color w:val="auto"/>
            </w:rPr>
            <w:fldChar w:fldCharType="separate"/>
          </w:r>
          <w:r>
            <w:rPr>
              <w:rFonts w:ascii="Times New Roman" w:hAnsi="Times New Roman"/>
              <w:color w:val="auto"/>
            </w:rPr>
            <w:t>20</w:t>
          </w:r>
          <w:r>
            <w:rPr>
              <w:rFonts w:ascii="Times New Roman" w:hAnsi="Times New Roman"/>
              <w:color w:val="auto"/>
            </w:rPr>
            <w:fldChar w:fldCharType="end"/>
          </w:r>
          <w:r>
            <w:rPr>
              <w:rFonts w:hint="default" w:ascii="Times New Roman" w:hAnsi="Times New Roman" w:cs="Times New Roman"/>
              <w:color w:val="auto"/>
            </w:rPr>
            <w:fldChar w:fldCharType="end"/>
          </w:r>
        </w:p>
        <w:p w14:paraId="3CBA5247">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_Toc17847 </w:instrText>
          </w:r>
          <w:r>
            <w:rPr>
              <w:rFonts w:hint="default" w:ascii="Times New Roman" w:hAnsi="Times New Roman" w:cs="Times New Roman"/>
              <w:color w:val="auto"/>
            </w:rPr>
            <w:fldChar w:fldCharType="separate"/>
          </w:r>
          <w:r>
            <w:rPr>
              <w:rFonts w:hint="default" w:ascii="Times New Roman" w:hAnsi="Times New Roman" w:cs="Times New Roman"/>
              <w:color w:val="auto"/>
              <w:lang w:val="en-US" w:eastAsia="zh-CN"/>
            </w:rPr>
            <w:t>（四）全面保障农产品质量安全</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_Toc17847 \h </w:instrText>
          </w:r>
          <w:r>
            <w:rPr>
              <w:rFonts w:ascii="Times New Roman" w:hAnsi="Times New Roman"/>
              <w:color w:val="auto"/>
            </w:rPr>
            <w:fldChar w:fldCharType="separate"/>
          </w:r>
          <w:r>
            <w:rPr>
              <w:rFonts w:ascii="Times New Roman" w:hAnsi="Times New Roman"/>
              <w:color w:val="auto"/>
            </w:rPr>
            <w:t>20</w:t>
          </w:r>
          <w:r>
            <w:rPr>
              <w:rFonts w:ascii="Times New Roman" w:hAnsi="Times New Roman"/>
              <w:color w:val="auto"/>
            </w:rPr>
            <w:fldChar w:fldCharType="end"/>
          </w:r>
          <w:r>
            <w:rPr>
              <w:rFonts w:hint="default" w:ascii="Times New Roman" w:hAnsi="Times New Roman" w:cs="Times New Roman"/>
              <w:color w:val="auto"/>
            </w:rPr>
            <w:fldChar w:fldCharType="end"/>
          </w:r>
        </w:p>
        <w:p w14:paraId="60816A69">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_Toc30876 </w:instrText>
          </w:r>
          <w:r>
            <w:rPr>
              <w:rFonts w:hint="default" w:ascii="Times New Roman" w:hAnsi="Times New Roman" w:cs="Times New Roman"/>
              <w:color w:val="auto"/>
            </w:rPr>
            <w:fldChar w:fldCharType="separate"/>
          </w:r>
          <w:r>
            <w:rPr>
              <w:rFonts w:hint="default" w:ascii="Times New Roman" w:hAnsi="Times New Roman" w:cs="Times New Roman"/>
              <w:color w:val="auto"/>
            </w:rPr>
            <w:t>（</w:t>
          </w:r>
          <w:r>
            <w:rPr>
              <w:rFonts w:hint="default" w:ascii="Times New Roman" w:hAnsi="Times New Roman" w:cs="Times New Roman"/>
              <w:color w:val="auto"/>
              <w:lang w:val="en-US" w:eastAsia="zh-CN"/>
            </w:rPr>
            <w:t>五</w:t>
          </w:r>
          <w:r>
            <w:rPr>
              <w:rFonts w:hint="default" w:ascii="Times New Roman" w:hAnsi="Times New Roman" w:cs="Times New Roman"/>
              <w:color w:val="auto"/>
            </w:rPr>
            <w:t>）强化耕地保护</w:t>
          </w:r>
          <w:r>
            <w:rPr>
              <w:rFonts w:hint="default" w:ascii="Times New Roman" w:hAnsi="Times New Roman" w:cs="Times New Roman"/>
              <w:color w:val="auto"/>
              <w:lang w:eastAsia="zh-CN"/>
            </w:rPr>
            <w:t>与</w:t>
          </w:r>
          <w:r>
            <w:rPr>
              <w:rFonts w:hint="default" w:ascii="Times New Roman" w:hAnsi="Times New Roman" w:cs="Times New Roman"/>
              <w:color w:val="auto"/>
            </w:rPr>
            <w:t>质量提升</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_Toc30876 \h </w:instrText>
          </w:r>
          <w:r>
            <w:rPr>
              <w:rFonts w:ascii="Times New Roman" w:hAnsi="Times New Roman"/>
              <w:color w:val="auto"/>
            </w:rPr>
            <w:fldChar w:fldCharType="separate"/>
          </w:r>
          <w:r>
            <w:rPr>
              <w:rFonts w:ascii="Times New Roman" w:hAnsi="Times New Roman"/>
              <w:color w:val="auto"/>
            </w:rPr>
            <w:t>21</w:t>
          </w:r>
          <w:r>
            <w:rPr>
              <w:rFonts w:ascii="Times New Roman" w:hAnsi="Times New Roman"/>
              <w:color w:val="auto"/>
            </w:rPr>
            <w:fldChar w:fldCharType="end"/>
          </w:r>
          <w:r>
            <w:rPr>
              <w:rFonts w:hint="default" w:ascii="Times New Roman" w:hAnsi="Times New Roman" w:cs="Times New Roman"/>
              <w:color w:val="auto"/>
            </w:rPr>
            <w:fldChar w:fldCharType="end"/>
          </w:r>
        </w:p>
        <w:p w14:paraId="6FFCDEF1">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_Toc13743 </w:instrText>
          </w:r>
          <w:r>
            <w:rPr>
              <w:rFonts w:hint="default" w:ascii="Times New Roman" w:hAnsi="Times New Roman" w:cs="Times New Roman"/>
              <w:color w:val="auto"/>
            </w:rPr>
            <w:fldChar w:fldCharType="separate"/>
          </w:r>
          <w:r>
            <w:rPr>
              <w:rFonts w:hint="default" w:ascii="Times New Roman" w:hAnsi="Times New Roman" w:cs="Times New Roman"/>
              <w:color w:val="auto"/>
              <w:lang w:val="en-US" w:eastAsia="zh-CN"/>
            </w:rPr>
            <w:t>（六）</w:t>
          </w:r>
          <w:r>
            <w:rPr>
              <w:rFonts w:hint="default" w:ascii="Times New Roman" w:hAnsi="Times New Roman" w:cs="Times New Roman"/>
              <w:color w:val="auto"/>
              <w:lang w:eastAsia="zh-CN"/>
            </w:rPr>
            <w:t>持续推进</w:t>
          </w:r>
          <w:r>
            <w:rPr>
              <w:rFonts w:hint="default" w:ascii="Times New Roman" w:hAnsi="Times New Roman" w:cs="Times New Roman"/>
              <w:color w:val="auto"/>
            </w:rPr>
            <w:t>高标准农田</w:t>
          </w:r>
          <w:r>
            <w:rPr>
              <w:rFonts w:hint="default" w:ascii="Times New Roman" w:hAnsi="Times New Roman" w:cs="Times New Roman"/>
              <w:color w:val="auto"/>
              <w:lang w:eastAsia="zh-CN"/>
            </w:rPr>
            <w:t>建设</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_Toc13743 \h </w:instrText>
          </w:r>
          <w:r>
            <w:rPr>
              <w:rFonts w:ascii="Times New Roman" w:hAnsi="Times New Roman"/>
              <w:color w:val="auto"/>
            </w:rPr>
            <w:fldChar w:fldCharType="separate"/>
          </w:r>
          <w:r>
            <w:rPr>
              <w:rFonts w:ascii="Times New Roman" w:hAnsi="Times New Roman"/>
              <w:color w:val="auto"/>
            </w:rPr>
            <w:t>22</w:t>
          </w:r>
          <w:r>
            <w:rPr>
              <w:rFonts w:ascii="Times New Roman" w:hAnsi="Times New Roman"/>
              <w:color w:val="auto"/>
            </w:rPr>
            <w:fldChar w:fldCharType="end"/>
          </w:r>
          <w:r>
            <w:rPr>
              <w:rFonts w:hint="default" w:ascii="Times New Roman" w:hAnsi="Times New Roman" w:cs="Times New Roman"/>
              <w:color w:val="auto"/>
            </w:rPr>
            <w:fldChar w:fldCharType="end"/>
          </w:r>
        </w:p>
        <w:p w14:paraId="4BD7549A">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_Toc28767 </w:instrText>
          </w:r>
          <w:r>
            <w:rPr>
              <w:rFonts w:hint="default" w:ascii="Times New Roman" w:hAnsi="Times New Roman" w:cs="Times New Roman"/>
              <w:color w:val="auto"/>
            </w:rPr>
            <w:fldChar w:fldCharType="separate"/>
          </w:r>
          <w:r>
            <w:rPr>
              <w:rFonts w:hint="default" w:ascii="Times New Roman" w:hAnsi="Times New Roman" w:cs="Times New Roman"/>
              <w:color w:val="auto"/>
            </w:rPr>
            <w:t>（</w:t>
          </w:r>
          <w:r>
            <w:rPr>
              <w:rFonts w:hint="default" w:ascii="Times New Roman" w:hAnsi="Times New Roman" w:cs="Times New Roman"/>
              <w:color w:val="auto"/>
              <w:lang w:val="en-US" w:eastAsia="zh-CN"/>
            </w:rPr>
            <w:t>七</w:t>
          </w:r>
          <w:r>
            <w:rPr>
              <w:rFonts w:hint="default" w:ascii="Times New Roman" w:hAnsi="Times New Roman" w:cs="Times New Roman"/>
              <w:color w:val="auto"/>
            </w:rPr>
            <w:t>）打造灌区农田水利配套体系</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_Toc28767 \h </w:instrText>
          </w:r>
          <w:r>
            <w:rPr>
              <w:rFonts w:ascii="Times New Roman" w:hAnsi="Times New Roman"/>
              <w:color w:val="auto"/>
            </w:rPr>
            <w:fldChar w:fldCharType="separate"/>
          </w:r>
          <w:r>
            <w:rPr>
              <w:rFonts w:ascii="Times New Roman" w:hAnsi="Times New Roman"/>
              <w:color w:val="auto"/>
            </w:rPr>
            <w:t>24</w:t>
          </w:r>
          <w:r>
            <w:rPr>
              <w:rFonts w:ascii="Times New Roman" w:hAnsi="Times New Roman"/>
              <w:color w:val="auto"/>
            </w:rPr>
            <w:fldChar w:fldCharType="end"/>
          </w:r>
          <w:r>
            <w:rPr>
              <w:rFonts w:hint="default" w:ascii="Times New Roman" w:hAnsi="Times New Roman" w:cs="Times New Roman"/>
              <w:color w:val="auto"/>
            </w:rPr>
            <w:fldChar w:fldCharType="end"/>
          </w:r>
        </w:p>
        <w:p w14:paraId="4C0F8ED9">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_Toc20746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rPr>
            <w:t>二、</w:t>
          </w:r>
          <w:r>
            <w:rPr>
              <w:rFonts w:hint="default" w:ascii="Times New Roman" w:hAnsi="Times New Roman" w:eastAsia="楷体_GB2312" w:cs="楷体_GB2312"/>
              <w:color w:val="auto"/>
              <w:lang w:eastAsia="zh-CN"/>
            </w:rPr>
            <w:t>推动</w:t>
          </w:r>
          <w:r>
            <w:rPr>
              <w:rFonts w:hint="default" w:ascii="Times New Roman" w:hAnsi="Times New Roman" w:eastAsia="楷体_GB2312" w:cs="楷体_GB2312"/>
              <w:color w:val="auto"/>
            </w:rPr>
            <w:t>乡村产业</w:t>
          </w:r>
          <w:r>
            <w:rPr>
              <w:rFonts w:hint="default" w:ascii="Times New Roman" w:hAnsi="Times New Roman" w:eastAsia="楷体_GB2312" w:cs="楷体_GB2312"/>
              <w:color w:val="auto"/>
              <w:lang w:eastAsia="zh-CN"/>
            </w:rPr>
            <w:t>提质增效</w:t>
          </w:r>
          <w:r>
            <w:rPr>
              <w:rFonts w:hint="default" w:ascii="Times New Roman" w:hAnsi="Times New Roman" w:eastAsia="楷体_GB2312" w:cs="楷体_GB2312"/>
              <w:color w:val="auto"/>
            </w:rPr>
            <w:t xml:space="preserve"> </w:t>
          </w:r>
          <w:r>
            <w:rPr>
              <w:rFonts w:hint="default" w:ascii="Times New Roman" w:hAnsi="Times New Roman" w:eastAsia="楷体_GB2312" w:cs="楷体_GB2312"/>
              <w:color w:val="auto"/>
              <w:lang w:eastAsia="zh-CN"/>
            </w:rPr>
            <w:t>构建现代产业体系</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_Toc20746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25</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47EB57E7">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_Toc2439 </w:instrText>
          </w:r>
          <w:r>
            <w:rPr>
              <w:rFonts w:hint="default" w:ascii="Times New Roman" w:hAnsi="Times New Roman" w:cs="Times New Roman"/>
              <w:color w:val="auto"/>
            </w:rPr>
            <w:fldChar w:fldCharType="separate"/>
          </w:r>
          <w:r>
            <w:rPr>
              <w:rFonts w:hint="default" w:ascii="Times New Roman" w:hAnsi="Times New Roman" w:cs="Times New Roman"/>
              <w:color w:val="auto"/>
            </w:rPr>
            <w:t>（一）</w:t>
          </w:r>
          <w:r>
            <w:rPr>
              <w:rFonts w:hint="default" w:ascii="Times New Roman" w:hAnsi="Times New Roman" w:cs="Times New Roman"/>
              <w:color w:val="auto"/>
              <w:lang w:eastAsia="zh-CN"/>
            </w:rPr>
            <w:t>优化</w:t>
          </w:r>
          <w:r>
            <w:rPr>
              <w:rFonts w:hint="default" w:ascii="Times New Roman" w:hAnsi="Times New Roman" w:cs="Times New Roman"/>
              <w:color w:val="auto"/>
            </w:rPr>
            <w:t>种植</w:t>
          </w:r>
          <w:r>
            <w:rPr>
              <w:rFonts w:hint="default" w:ascii="Times New Roman" w:hAnsi="Times New Roman" w:cs="Times New Roman"/>
              <w:color w:val="auto"/>
              <w:lang w:eastAsia="zh-CN"/>
            </w:rPr>
            <w:t>结构与区域</w:t>
          </w:r>
          <w:r>
            <w:rPr>
              <w:rFonts w:hint="default" w:ascii="Times New Roman" w:hAnsi="Times New Roman" w:cs="Times New Roman"/>
              <w:color w:val="auto"/>
            </w:rPr>
            <w:t>布局</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_Toc2439 \h </w:instrText>
          </w:r>
          <w:r>
            <w:rPr>
              <w:rFonts w:ascii="Times New Roman" w:hAnsi="Times New Roman"/>
              <w:color w:val="auto"/>
            </w:rPr>
            <w:fldChar w:fldCharType="separate"/>
          </w:r>
          <w:r>
            <w:rPr>
              <w:rFonts w:ascii="Times New Roman" w:hAnsi="Times New Roman"/>
              <w:color w:val="auto"/>
            </w:rPr>
            <w:t>25</w:t>
          </w:r>
          <w:r>
            <w:rPr>
              <w:rFonts w:ascii="Times New Roman" w:hAnsi="Times New Roman"/>
              <w:color w:val="auto"/>
            </w:rPr>
            <w:fldChar w:fldCharType="end"/>
          </w:r>
          <w:r>
            <w:rPr>
              <w:rFonts w:hint="default" w:ascii="Times New Roman" w:hAnsi="Times New Roman" w:cs="Times New Roman"/>
              <w:color w:val="auto"/>
            </w:rPr>
            <w:fldChar w:fldCharType="end"/>
          </w:r>
        </w:p>
        <w:p w14:paraId="1C1CF06F">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_Toc27269 </w:instrText>
          </w:r>
          <w:r>
            <w:rPr>
              <w:rFonts w:hint="default" w:ascii="Times New Roman" w:hAnsi="Times New Roman" w:cs="Times New Roman"/>
              <w:color w:val="auto"/>
            </w:rPr>
            <w:fldChar w:fldCharType="separate"/>
          </w:r>
          <w:r>
            <w:rPr>
              <w:rFonts w:hint="default" w:ascii="Times New Roman" w:hAnsi="Times New Roman" w:cs="Times New Roman"/>
              <w:color w:val="auto"/>
            </w:rPr>
            <w:t>（二）推动全产业链</w:t>
          </w:r>
          <w:r>
            <w:rPr>
              <w:rFonts w:hint="default" w:ascii="Times New Roman" w:hAnsi="Times New Roman" w:cs="Times New Roman"/>
              <w:color w:val="auto"/>
              <w:lang w:eastAsia="zh-CN"/>
            </w:rPr>
            <w:t>融合发展</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_Toc27269 \h </w:instrText>
          </w:r>
          <w:r>
            <w:rPr>
              <w:rFonts w:ascii="Times New Roman" w:hAnsi="Times New Roman"/>
              <w:color w:val="auto"/>
            </w:rPr>
            <w:fldChar w:fldCharType="separate"/>
          </w:r>
          <w:r>
            <w:rPr>
              <w:rFonts w:ascii="Times New Roman" w:hAnsi="Times New Roman"/>
              <w:color w:val="auto"/>
            </w:rPr>
            <w:t>27</w:t>
          </w:r>
          <w:r>
            <w:rPr>
              <w:rFonts w:ascii="Times New Roman" w:hAnsi="Times New Roman"/>
              <w:color w:val="auto"/>
            </w:rPr>
            <w:fldChar w:fldCharType="end"/>
          </w:r>
          <w:r>
            <w:rPr>
              <w:rFonts w:hint="default" w:ascii="Times New Roman" w:hAnsi="Times New Roman" w:cs="Times New Roman"/>
              <w:color w:val="auto"/>
            </w:rPr>
            <w:fldChar w:fldCharType="end"/>
          </w:r>
        </w:p>
        <w:p w14:paraId="43AB31FD">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_Toc6744 </w:instrText>
          </w:r>
          <w:r>
            <w:rPr>
              <w:rFonts w:hint="default" w:ascii="Times New Roman" w:hAnsi="Times New Roman" w:cs="Times New Roman"/>
              <w:color w:val="auto"/>
            </w:rPr>
            <w:fldChar w:fldCharType="separate"/>
          </w:r>
          <w:r>
            <w:rPr>
              <w:rFonts w:hint="default" w:ascii="Times New Roman" w:hAnsi="Times New Roman" w:cs="Times New Roman"/>
              <w:color w:val="auto"/>
            </w:rPr>
            <w:t>（三）促进产业</w:t>
          </w:r>
          <w:r>
            <w:rPr>
              <w:rFonts w:hint="default" w:ascii="Times New Roman" w:hAnsi="Times New Roman" w:cs="Times New Roman"/>
              <w:color w:val="auto"/>
              <w:lang w:eastAsia="zh-CN"/>
            </w:rPr>
            <w:t>集群</w:t>
          </w:r>
          <w:r>
            <w:rPr>
              <w:rFonts w:hint="default" w:ascii="Times New Roman" w:hAnsi="Times New Roman" w:cs="Times New Roman"/>
              <w:color w:val="auto"/>
            </w:rPr>
            <w:t>集聚</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_Toc6744 \h </w:instrText>
          </w:r>
          <w:r>
            <w:rPr>
              <w:rFonts w:ascii="Times New Roman" w:hAnsi="Times New Roman"/>
              <w:color w:val="auto"/>
            </w:rPr>
            <w:fldChar w:fldCharType="separate"/>
          </w:r>
          <w:r>
            <w:rPr>
              <w:rFonts w:ascii="Times New Roman" w:hAnsi="Times New Roman"/>
              <w:color w:val="auto"/>
            </w:rPr>
            <w:t>31</w:t>
          </w:r>
          <w:r>
            <w:rPr>
              <w:rFonts w:ascii="Times New Roman" w:hAnsi="Times New Roman"/>
              <w:color w:val="auto"/>
            </w:rPr>
            <w:fldChar w:fldCharType="end"/>
          </w:r>
          <w:r>
            <w:rPr>
              <w:rFonts w:hint="default" w:ascii="Times New Roman" w:hAnsi="Times New Roman" w:cs="Times New Roman"/>
              <w:color w:val="auto"/>
            </w:rPr>
            <w:fldChar w:fldCharType="end"/>
          </w:r>
        </w:p>
        <w:p w14:paraId="66F4BA76">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_Toc31725 </w:instrText>
          </w:r>
          <w:r>
            <w:rPr>
              <w:rFonts w:hint="default" w:ascii="Times New Roman" w:hAnsi="Times New Roman" w:cs="Times New Roman"/>
              <w:color w:val="auto"/>
            </w:rPr>
            <w:fldChar w:fldCharType="separate"/>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四</w:t>
          </w:r>
          <w:r>
            <w:rPr>
              <w:rFonts w:hint="default" w:ascii="Times New Roman" w:hAnsi="Times New Roman" w:cs="Times New Roman"/>
              <w:color w:val="auto"/>
              <w:lang w:eastAsia="zh-CN"/>
            </w:rPr>
            <w:t>）</w:t>
          </w:r>
          <w:r>
            <w:rPr>
              <w:rFonts w:hint="default" w:ascii="Times New Roman" w:hAnsi="Times New Roman" w:cs="Times New Roman"/>
              <w:color w:val="auto"/>
            </w:rPr>
            <w:t>打造农</w:t>
          </w:r>
          <w:r>
            <w:rPr>
              <w:rFonts w:hint="default" w:ascii="Times New Roman" w:hAnsi="Times New Roman" w:cs="Times New Roman"/>
              <w:color w:val="auto"/>
              <w:lang w:val="en-US" w:eastAsia="zh-CN"/>
            </w:rPr>
            <w:t>文</w:t>
          </w:r>
          <w:r>
            <w:rPr>
              <w:rFonts w:hint="default" w:ascii="Times New Roman" w:hAnsi="Times New Roman" w:cs="Times New Roman"/>
              <w:color w:val="auto"/>
            </w:rPr>
            <w:t>旅融合发展新高地</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_Toc31725 \h </w:instrText>
          </w:r>
          <w:r>
            <w:rPr>
              <w:rFonts w:ascii="Times New Roman" w:hAnsi="Times New Roman"/>
              <w:color w:val="auto"/>
            </w:rPr>
            <w:fldChar w:fldCharType="separate"/>
          </w:r>
          <w:r>
            <w:rPr>
              <w:rFonts w:ascii="Times New Roman" w:hAnsi="Times New Roman"/>
              <w:color w:val="auto"/>
            </w:rPr>
            <w:t>33</w:t>
          </w:r>
          <w:r>
            <w:rPr>
              <w:rFonts w:ascii="Times New Roman" w:hAnsi="Times New Roman"/>
              <w:color w:val="auto"/>
            </w:rPr>
            <w:fldChar w:fldCharType="end"/>
          </w:r>
          <w:r>
            <w:rPr>
              <w:rFonts w:hint="default" w:ascii="Times New Roman" w:hAnsi="Times New Roman" w:cs="Times New Roman"/>
              <w:color w:val="auto"/>
            </w:rPr>
            <w:fldChar w:fldCharType="end"/>
          </w:r>
        </w:p>
        <w:p w14:paraId="423ACB0F">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_Toc1974 </w:instrText>
          </w:r>
          <w:r>
            <w:rPr>
              <w:rFonts w:hint="default" w:ascii="Times New Roman" w:hAnsi="Times New Roman" w:cs="Times New Roman"/>
              <w:color w:val="auto"/>
            </w:rPr>
            <w:fldChar w:fldCharType="separate"/>
          </w:r>
          <w:r>
            <w:rPr>
              <w:rFonts w:hint="default" w:ascii="Times New Roman" w:hAnsi="Times New Roman" w:cs="Times New Roman"/>
              <w:color w:val="auto"/>
            </w:rPr>
            <w:t>（</w:t>
          </w:r>
          <w:r>
            <w:rPr>
              <w:rFonts w:hint="default" w:ascii="Times New Roman" w:hAnsi="Times New Roman" w:cs="Times New Roman"/>
              <w:color w:val="auto"/>
              <w:lang w:val="en-US" w:eastAsia="zh-CN"/>
            </w:rPr>
            <w:t>五</w:t>
          </w:r>
          <w:r>
            <w:rPr>
              <w:rFonts w:hint="default" w:ascii="Times New Roman" w:hAnsi="Times New Roman" w:cs="Times New Roman"/>
              <w:color w:val="auto"/>
            </w:rPr>
            <w:t>）</w:t>
          </w:r>
          <w:r>
            <w:rPr>
              <w:rFonts w:hint="default" w:ascii="Times New Roman" w:hAnsi="Times New Roman" w:cs="Times New Roman"/>
              <w:color w:val="auto"/>
              <w:lang w:eastAsia="zh-CN"/>
            </w:rPr>
            <w:t>强化</w:t>
          </w:r>
          <w:r>
            <w:rPr>
              <w:rFonts w:hint="default" w:ascii="Times New Roman" w:hAnsi="Times New Roman" w:cs="Times New Roman"/>
              <w:color w:val="auto"/>
            </w:rPr>
            <w:t>品牌引领和</w:t>
          </w:r>
          <w:r>
            <w:rPr>
              <w:rFonts w:hint="default" w:ascii="Times New Roman" w:hAnsi="Times New Roman" w:cs="Times New Roman"/>
              <w:color w:val="auto"/>
              <w:lang w:eastAsia="zh-CN"/>
            </w:rPr>
            <w:t>建设</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_Toc1974 \h </w:instrText>
          </w:r>
          <w:r>
            <w:rPr>
              <w:rFonts w:ascii="Times New Roman" w:hAnsi="Times New Roman"/>
              <w:color w:val="auto"/>
            </w:rPr>
            <w:fldChar w:fldCharType="separate"/>
          </w:r>
          <w:r>
            <w:rPr>
              <w:rFonts w:ascii="Times New Roman" w:hAnsi="Times New Roman"/>
              <w:color w:val="auto"/>
            </w:rPr>
            <w:t>36</w:t>
          </w:r>
          <w:r>
            <w:rPr>
              <w:rFonts w:ascii="Times New Roman" w:hAnsi="Times New Roman"/>
              <w:color w:val="auto"/>
            </w:rPr>
            <w:fldChar w:fldCharType="end"/>
          </w:r>
          <w:r>
            <w:rPr>
              <w:rFonts w:hint="default" w:ascii="Times New Roman" w:hAnsi="Times New Roman" w:cs="Times New Roman"/>
              <w:color w:val="auto"/>
            </w:rPr>
            <w:fldChar w:fldCharType="end"/>
          </w:r>
        </w:p>
        <w:p w14:paraId="2FC415E8">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_Toc1970 </w:instrText>
          </w:r>
          <w:r>
            <w:rPr>
              <w:rFonts w:hint="default" w:ascii="Times New Roman" w:hAnsi="Times New Roman" w:cs="Times New Roman"/>
              <w:color w:val="auto"/>
            </w:rPr>
            <w:fldChar w:fldCharType="separate"/>
          </w:r>
          <w:r>
            <w:rPr>
              <w:rFonts w:hint="default" w:ascii="Times New Roman" w:hAnsi="Times New Roman" w:cs="Times New Roman"/>
              <w:color w:val="auto"/>
            </w:rPr>
            <w:t>（</w:t>
          </w:r>
          <w:r>
            <w:rPr>
              <w:rFonts w:hint="default" w:ascii="Times New Roman" w:hAnsi="Times New Roman" w:cs="Times New Roman"/>
              <w:color w:val="auto"/>
              <w:lang w:val="en-US" w:eastAsia="zh-CN"/>
            </w:rPr>
            <w:t>六</w:t>
          </w:r>
          <w:r>
            <w:rPr>
              <w:rFonts w:hint="default" w:ascii="Times New Roman" w:hAnsi="Times New Roman" w:cs="Times New Roman"/>
              <w:color w:val="auto"/>
            </w:rPr>
            <w:t>）构建农业开放新格局</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_Toc1970 \h </w:instrText>
          </w:r>
          <w:r>
            <w:rPr>
              <w:rFonts w:ascii="Times New Roman" w:hAnsi="Times New Roman"/>
              <w:color w:val="auto"/>
            </w:rPr>
            <w:fldChar w:fldCharType="separate"/>
          </w:r>
          <w:r>
            <w:rPr>
              <w:rFonts w:ascii="Times New Roman" w:hAnsi="Times New Roman"/>
              <w:color w:val="auto"/>
            </w:rPr>
            <w:t>37</w:t>
          </w:r>
          <w:r>
            <w:rPr>
              <w:rFonts w:ascii="Times New Roman" w:hAnsi="Times New Roman"/>
              <w:color w:val="auto"/>
            </w:rPr>
            <w:fldChar w:fldCharType="end"/>
          </w:r>
          <w:r>
            <w:rPr>
              <w:rFonts w:hint="default" w:ascii="Times New Roman" w:hAnsi="Times New Roman" w:cs="Times New Roman"/>
              <w:color w:val="auto"/>
            </w:rPr>
            <w:fldChar w:fldCharType="end"/>
          </w:r>
        </w:p>
        <w:p w14:paraId="396CF788">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_Toc16107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rPr>
            <w:t>三、</w:t>
          </w:r>
          <w:r>
            <w:rPr>
              <w:rFonts w:hint="default" w:ascii="Times New Roman" w:hAnsi="Times New Roman" w:eastAsia="楷体_GB2312" w:cs="楷体_GB2312"/>
              <w:color w:val="auto"/>
              <w:lang w:eastAsia="zh-CN"/>
            </w:rPr>
            <w:t>强化</w:t>
          </w:r>
          <w:r>
            <w:rPr>
              <w:rFonts w:hint="default" w:ascii="Times New Roman" w:hAnsi="Times New Roman" w:eastAsia="楷体_GB2312" w:cs="楷体_GB2312"/>
              <w:color w:val="auto"/>
            </w:rPr>
            <w:t>科技</w:t>
          </w:r>
          <w:r>
            <w:rPr>
              <w:rFonts w:hint="default" w:ascii="Times New Roman" w:hAnsi="Times New Roman" w:eastAsia="楷体_GB2312" w:cs="楷体_GB2312"/>
              <w:color w:val="auto"/>
              <w:lang w:eastAsia="zh-CN"/>
            </w:rPr>
            <w:t>创新驱动</w:t>
          </w:r>
          <w:r>
            <w:rPr>
              <w:rFonts w:hint="default" w:ascii="Times New Roman" w:hAnsi="Times New Roman" w:eastAsia="楷体_GB2312" w:cs="楷体_GB2312"/>
              <w:color w:val="auto"/>
            </w:rPr>
            <w:t xml:space="preserve"> </w:t>
          </w:r>
          <w:r>
            <w:rPr>
              <w:rFonts w:hint="default" w:ascii="Times New Roman" w:hAnsi="Times New Roman" w:eastAsia="楷体_GB2312" w:cs="楷体_GB2312"/>
              <w:color w:val="auto"/>
              <w:lang w:eastAsia="zh-CN"/>
            </w:rPr>
            <w:t>增强农业发展动能</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_Toc16107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37</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5543CD3A">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_Toc20522 </w:instrText>
          </w:r>
          <w:r>
            <w:rPr>
              <w:rFonts w:hint="default" w:ascii="Times New Roman" w:hAnsi="Times New Roman" w:cs="Times New Roman"/>
              <w:color w:val="auto"/>
            </w:rPr>
            <w:fldChar w:fldCharType="separate"/>
          </w:r>
          <w:r>
            <w:rPr>
              <w:rFonts w:hint="default" w:ascii="Times New Roman" w:hAnsi="Times New Roman" w:cs="Times New Roman"/>
              <w:color w:val="auto"/>
            </w:rPr>
            <w:t>（一）推进现代种业</w:t>
          </w:r>
          <w:r>
            <w:rPr>
              <w:rFonts w:hint="default" w:ascii="Times New Roman" w:hAnsi="Times New Roman" w:cs="Times New Roman"/>
              <w:color w:val="auto"/>
              <w:lang w:eastAsia="zh-CN"/>
            </w:rPr>
            <w:t>振兴</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_Toc20522 \h </w:instrText>
          </w:r>
          <w:r>
            <w:rPr>
              <w:rFonts w:ascii="Times New Roman" w:hAnsi="Times New Roman"/>
              <w:color w:val="auto"/>
            </w:rPr>
            <w:fldChar w:fldCharType="separate"/>
          </w:r>
          <w:r>
            <w:rPr>
              <w:rFonts w:ascii="Times New Roman" w:hAnsi="Times New Roman"/>
              <w:color w:val="auto"/>
            </w:rPr>
            <w:t>38</w:t>
          </w:r>
          <w:r>
            <w:rPr>
              <w:rFonts w:ascii="Times New Roman" w:hAnsi="Times New Roman"/>
              <w:color w:val="auto"/>
            </w:rPr>
            <w:fldChar w:fldCharType="end"/>
          </w:r>
          <w:r>
            <w:rPr>
              <w:rFonts w:hint="default" w:ascii="Times New Roman" w:hAnsi="Times New Roman" w:cs="Times New Roman"/>
              <w:color w:val="auto"/>
            </w:rPr>
            <w:fldChar w:fldCharType="end"/>
          </w:r>
        </w:p>
        <w:p w14:paraId="78BA71AA">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_Toc8794 </w:instrText>
          </w:r>
          <w:r>
            <w:rPr>
              <w:rFonts w:hint="default" w:ascii="Times New Roman" w:hAnsi="Times New Roman" w:cs="Times New Roman"/>
              <w:color w:val="auto"/>
            </w:rPr>
            <w:fldChar w:fldCharType="separate"/>
          </w:r>
          <w:r>
            <w:rPr>
              <w:rFonts w:hint="default" w:ascii="Times New Roman" w:hAnsi="Times New Roman" w:cs="Times New Roman"/>
              <w:color w:val="auto"/>
            </w:rPr>
            <w:t>（二）</w:t>
          </w:r>
          <w:r>
            <w:rPr>
              <w:rFonts w:hint="default" w:ascii="Times New Roman" w:hAnsi="Times New Roman" w:cs="Times New Roman"/>
              <w:color w:val="auto"/>
              <w:lang w:eastAsia="zh-CN"/>
            </w:rPr>
            <w:t>健全</w:t>
          </w:r>
          <w:r>
            <w:rPr>
              <w:rFonts w:hint="default" w:ascii="Times New Roman" w:hAnsi="Times New Roman" w:cs="Times New Roman"/>
              <w:color w:val="auto"/>
            </w:rPr>
            <w:t>农业服务体系</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_Toc8794 \h </w:instrText>
          </w:r>
          <w:r>
            <w:rPr>
              <w:rFonts w:ascii="Times New Roman" w:hAnsi="Times New Roman"/>
              <w:color w:val="auto"/>
            </w:rPr>
            <w:fldChar w:fldCharType="separate"/>
          </w:r>
          <w:r>
            <w:rPr>
              <w:rFonts w:ascii="Times New Roman" w:hAnsi="Times New Roman"/>
              <w:color w:val="auto"/>
            </w:rPr>
            <w:t>39</w:t>
          </w:r>
          <w:r>
            <w:rPr>
              <w:rFonts w:ascii="Times New Roman" w:hAnsi="Times New Roman"/>
              <w:color w:val="auto"/>
            </w:rPr>
            <w:fldChar w:fldCharType="end"/>
          </w:r>
          <w:r>
            <w:rPr>
              <w:rFonts w:hint="default" w:ascii="Times New Roman" w:hAnsi="Times New Roman" w:cs="Times New Roman"/>
              <w:color w:val="auto"/>
            </w:rPr>
            <w:fldChar w:fldCharType="end"/>
          </w:r>
        </w:p>
        <w:p w14:paraId="3F35C687">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_Toc23021 </w:instrText>
          </w:r>
          <w:r>
            <w:rPr>
              <w:rFonts w:hint="default" w:ascii="Times New Roman" w:hAnsi="Times New Roman" w:cs="Times New Roman"/>
              <w:color w:val="auto"/>
            </w:rPr>
            <w:fldChar w:fldCharType="separate"/>
          </w:r>
          <w:r>
            <w:rPr>
              <w:rFonts w:hint="default" w:ascii="Times New Roman" w:hAnsi="Times New Roman" w:cs="Times New Roman"/>
              <w:color w:val="auto"/>
            </w:rPr>
            <w:t>（三）提</w:t>
          </w:r>
          <w:r>
            <w:rPr>
              <w:rFonts w:hint="default" w:ascii="Times New Roman" w:hAnsi="Times New Roman" w:cs="Times New Roman"/>
              <w:color w:val="auto"/>
              <w:lang w:eastAsia="zh-CN"/>
            </w:rPr>
            <w:t>升</w:t>
          </w:r>
          <w:r>
            <w:rPr>
              <w:rFonts w:hint="default" w:ascii="Times New Roman" w:hAnsi="Times New Roman" w:cs="Times New Roman"/>
              <w:color w:val="auto"/>
            </w:rPr>
            <w:t>农业机械化水平</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_Toc23021 \h </w:instrText>
          </w:r>
          <w:r>
            <w:rPr>
              <w:rFonts w:ascii="Times New Roman" w:hAnsi="Times New Roman"/>
              <w:color w:val="auto"/>
            </w:rPr>
            <w:fldChar w:fldCharType="separate"/>
          </w:r>
          <w:r>
            <w:rPr>
              <w:rFonts w:ascii="Times New Roman" w:hAnsi="Times New Roman"/>
              <w:color w:val="auto"/>
            </w:rPr>
            <w:t>45</w:t>
          </w:r>
          <w:r>
            <w:rPr>
              <w:rFonts w:ascii="Times New Roman" w:hAnsi="Times New Roman"/>
              <w:color w:val="auto"/>
            </w:rPr>
            <w:fldChar w:fldCharType="end"/>
          </w:r>
          <w:r>
            <w:rPr>
              <w:rFonts w:hint="default" w:ascii="Times New Roman" w:hAnsi="Times New Roman" w:cs="Times New Roman"/>
              <w:color w:val="auto"/>
            </w:rPr>
            <w:fldChar w:fldCharType="end"/>
          </w:r>
        </w:p>
        <w:p w14:paraId="162E2FEE">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_Toc10493 </w:instrText>
          </w:r>
          <w:r>
            <w:rPr>
              <w:rFonts w:hint="default" w:ascii="Times New Roman" w:hAnsi="Times New Roman" w:cs="Times New Roman"/>
              <w:color w:val="auto"/>
            </w:rPr>
            <w:fldChar w:fldCharType="separate"/>
          </w:r>
          <w:r>
            <w:rPr>
              <w:rFonts w:hint="default" w:ascii="Times New Roman" w:hAnsi="Times New Roman" w:cs="Times New Roman"/>
              <w:color w:val="auto"/>
            </w:rPr>
            <w:t>（四）推广绿色</w:t>
          </w:r>
          <w:r>
            <w:rPr>
              <w:rFonts w:hint="default" w:ascii="Times New Roman" w:hAnsi="Times New Roman" w:cs="Times New Roman"/>
              <w:color w:val="auto"/>
              <w:lang w:eastAsia="zh-CN"/>
            </w:rPr>
            <w:t>种养模式</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_Toc10493 \h </w:instrText>
          </w:r>
          <w:r>
            <w:rPr>
              <w:rFonts w:ascii="Times New Roman" w:hAnsi="Times New Roman"/>
              <w:color w:val="auto"/>
            </w:rPr>
            <w:fldChar w:fldCharType="separate"/>
          </w:r>
          <w:r>
            <w:rPr>
              <w:rFonts w:ascii="Times New Roman" w:hAnsi="Times New Roman"/>
              <w:color w:val="auto"/>
            </w:rPr>
            <w:t>46</w:t>
          </w:r>
          <w:r>
            <w:rPr>
              <w:rFonts w:ascii="Times New Roman" w:hAnsi="Times New Roman"/>
              <w:color w:val="auto"/>
            </w:rPr>
            <w:fldChar w:fldCharType="end"/>
          </w:r>
          <w:r>
            <w:rPr>
              <w:rFonts w:hint="default" w:ascii="Times New Roman" w:hAnsi="Times New Roman" w:cs="Times New Roman"/>
              <w:color w:val="auto"/>
            </w:rPr>
            <w:fldChar w:fldCharType="end"/>
          </w:r>
        </w:p>
        <w:p w14:paraId="0D1E2014">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_Toc6627 </w:instrText>
          </w:r>
          <w:r>
            <w:rPr>
              <w:rFonts w:hint="default" w:ascii="Times New Roman" w:hAnsi="Times New Roman" w:cs="Times New Roman"/>
              <w:color w:val="auto"/>
            </w:rPr>
            <w:fldChar w:fldCharType="separate"/>
          </w:r>
          <w:r>
            <w:rPr>
              <w:rFonts w:hint="default" w:ascii="Times New Roman" w:hAnsi="Times New Roman" w:cs="Times New Roman"/>
              <w:color w:val="auto"/>
            </w:rPr>
            <w:t>（</w:t>
          </w:r>
          <w:r>
            <w:rPr>
              <w:rFonts w:hint="default" w:ascii="Times New Roman" w:hAnsi="Times New Roman" w:cs="Times New Roman"/>
              <w:color w:val="auto"/>
              <w:lang w:val="en-US" w:eastAsia="zh-CN"/>
            </w:rPr>
            <w:t>五</w:t>
          </w:r>
          <w:r>
            <w:rPr>
              <w:rFonts w:hint="default" w:ascii="Times New Roman" w:hAnsi="Times New Roman" w:cs="Times New Roman"/>
              <w:color w:val="auto"/>
            </w:rPr>
            <w:t>）</w:t>
          </w:r>
          <w:r>
            <w:rPr>
              <w:rFonts w:hint="default" w:ascii="Times New Roman" w:hAnsi="Times New Roman" w:cs="Times New Roman"/>
              <w:color w:val="auto"/>
              <w:lang w:eastAsia="zh-CN"/>
            </w:rPr>
            <w:t>加快建设智慧</w:t>
          </w:r>
          <w:r>
            <w:rPr>
              <w:rFonts w:hint="default" w:ascii="Times New Roman" w:hAnsi="Times New Roman" w:cs="Times New Roman"/>
              <w:color w:val="auto"/>
              <w:lang w:val="en-US" w:eastAsia="zh-CN"/>
            </w:rPr>
            <w:t>农业</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_Toc6627 \h </w:instrText>
          </w:r>
          <w:r>
            <w:rPr>
              <w:rFonts w:ascii="Times New Roman" w:hAnsi="Times New Roman"/>
              <w:color w:val="auto"/>
            </w:rPr>
            <w:fldChar w:fldCharType="separate"/>
          </w:r>
          <w:r>
            <w:rPr>
              <w:rFonts w:ascii="Times New Roman" w:hAnsi="Times New Roman"/>
              <w:color w:val="auto"/>
            </w:rPr>
            <w:t>48</w:t>
          </w:r>
          <w:r>
            <w:rPr>
              <w:rFonts w:ascii="Times New Roman" w:hAnsi="Times New Roman"/>
              <w:color w:val="auto"/>
            </w:rPr>
            <w:fldChar w:fldCharType="end"/>
          </w:r>
          <w:r>
            <w:rPr>
              <w:rFonts w:hint="default" w:ascii="Times New Roman" w:hAnsi="Times New Roman" w:cs="Times New Roman"/>
              <w:color w:val="auto"/>
            </w:rPr>
            <w:fldChar w:fldCharType="end"/>
          </w:r>
        </w:p>
        <w:p w14:paraId="710EB61E">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hint="eastAsia" w:ascii="Times New Roman" w:hAnsi="Times New Roman" w:eastAsia="楷体_GB2312" w:cs="楷体_GB2312"/>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_Toc11937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rPr>
            <w:t>四、培优</w:t>
          </w:r>
          <w:r>
            <w:rPr>
              <w:rFonts w:hint="default" w:ascii="Times New Roman" w:hAnsi="Times New Roman" w:eastAsia="楷体_GB2312" w:cs="楷体_GB2312"/>
              <w:color w:val="auto"/>
              <w:lang w:eastAsia="zh-CN"/>
            </w:rPr>
            <w:t>新型</w:t>
          </w:r>
          <w:r>
            <w:rPr>
              <w:rFonts w:hint="default" w:ascii="Times New Roman" w:hAnsi="Times New Roman" w:eastAsia="楷体_GB2312" w:cs="楷体_GB2312"/>
              <w:color w:val="auto"/>
            </w:rPr>
            <w:t xml:space="preserve">经营主体 </w:t>
          </w:r>
          <w:r>
            <w:rPr>
              <w:rFonts w:hint="default" w:ascii="Times New Roman" w:hAnsi="Times New Roman" w:eastAsia="楷体_GB2312" w:cs="楷体_GB2312"/>
              <w:color w:val="auto"/>
              <w:lang w:eastAsia="zh-CN"/>
            </w:rPr>
            <w:t>激发乡村</w:t>
          </w:r>
          <w:r>
            <w:rPr>
              <w:rFonts w:hint="default" w:ascii="Times New Roman" w:hAnsi="Times New Roman" w:eastAsia="楷体_GB2312" w:cs="楷体_GB2312"/>
              <w:color w:val="auto"/>
              <w:lang w:val="en-US" w:eastAsia="zh-CN"/>
            </w:rPr>
            <w:t>生产经营</w:t>
          </w:r>
          <w:r>
            <w:rPr>
              <w:rFonts w:hint="default" w:ascii="Times New Roman" w:hAnsi="Times New Roman" w:eastAsia="楷体_GB2312" w:cs="楷体_GB2312"/>
              <w:color w:val="auto"/>
              <w:lang w:eastAsia="zh-CN"/>
            </w:rPr>
            <w:t>活力</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_Toc11937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49</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3AA6867D">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_Toc29955 </w:instrText>
          </w:r>
          <w:r>
            <w:rPr>
              <w:rFonts w:hint="default" w:ascii="Times New Roman" w:hAnsi="Times New Roman" w:cs="Times New Roman"/>
              <w:color w:val="auto"/>
            </w:rPr>
            <w:fldChar w:fldCharType="separate"/>
          </w:r>
          <w:r>
            <w:rPr>
              <w:rFonts w:hint="default" w:ascii="Times New Roman" w:hAnsi="Times New Roman" w:cs="Times New Roman"/>
              <w:color w:val="auto"/>
            </w:rPr>
            <w:t>（一）</w:t>
          </w:r>
          <w:r>
            <w:rPr>
              <w:rFonts w:hint="default" w:ascii="Times New Roman" w:hAnsi="Times New Roman" w:cs="Times New Roman"/>
              <w:color w:val="auto"/>
              <w:lang w:eastAsia="zh-CN"/>
            </w:rPr>
            <w:t>提升</w:t>
          </w:r>
          <w:r>
            <w:rPr>
              <w:rFonts w:hint="default" w:ascii="Times New Roman" w:hAnsi="Times New Roman" w:cs="Times New Roman"/>
              <w:color w:val="auto"/>
            </w:rPr>
            <w:t>农业龙头企业一体化经营能力</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_Toc29955 \h </w:instrText>
          </w:r>
          <w:r>
            <w:rPr>
              <w:rFonts w:ascii="Times New Roman" w:hAnsi="Times New Roman"/>
              <w:color w:val="auto"/>
            </w:rPr>
            <w:fldChar w:fldCharType="separate"/>
          </w:r>
          <w:r>
            <w:rPr>
              <w:rFonts w:ascii="Times New Roman" w:hAnsi="Times New Roman"/>
              <w:color w:val="auto"/>
            </w:rPr>
            <w:t>50</w:t>
          </w:r>
          <w:r>
            <w:rPr>
              <w:rFonts w:ascii="Times New Roman" w:hAnsi="Times New Roman"/>
              <w:color w:val="auto"/>
            </w:rPr>
            <w:fldChar w:fldCharType="end"/>
          </w:r>
          <w:r>
            <w:rPr>
              <w:rFonts w:hint="default" w:ascii="Times New Roman" w:hAnsi="Times New Roman" w:cs="Times New Roman"/>
              <w:color w:val="auto"/>
            </w:rPr>
            <w:fldChar w:fldCharType="end"/>
          </w:r>
        </w:p>
        <w:p w14:paraId="4FA8054B">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_Toc9023 </w:instrText>
          </w:r>
          <w:r>
            <w:rPr>
              <w:rFonts w:hint="default" w:ascii="Times New Roman" w:hAnsi="Times New Roman" w:cs="Times New Roman"/>
              <w:color w:val="auto"/>
            </w:rPr>
            <w:fldChar w:fldCharType="separate"/>
          </w:r>
          <w:r>
            <w:rPr>
              <w:rFonts w:hint="default" w:ascii="Times New Roman" w:hAnsi="Times New Roman" w:cs="Times New Roman"/>
              <w:color w:val="auto"/>
            </w:rPr>
            <w:t>（二）推动家庭农场规模集约规范发展</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_Toc9023 \h </w:instrText>
          </w:r>
          <w:r>
            <w:rPr>
              <w:rFonts w:ascii="Times New Roman" w:hAnsi="Times New Roman"/>
              <w:color w:val="auto"/>
            </w:rPr>
            <w:fldChar w:fldCharType="separate"/>
          </w:r>
          <w:r>
            <w:rPr>
              <w:rFonts w:ascii="Times New Roman" w:hAnsi="Times New Roman"/>
              <w:color w:val="auto"/>
            </w:rPr>
            <w:t>51</w:t>
          </w:r>
          <w:r>
            <w:rPr>
              <w:rFonts w:ascii="Times New Roman" w:hAnsi="Times New Roman"/>
              <w:color w:val="auto"/>
            </w:rPr>
            <w:fldChar w:fldCharType="end"/>
          </w:r>
          <w:r>
            <w:rPr>
              <w:rFonts w:hint="default" w:ascii="Times New Roman" w:hAnsi="Times New Roman" w:cs="Times New Roman"/>
              <w:color w:val="auto"/>
            </w:rPr>
            <w:fldChar w:fldCharType="end"/>
          </w:r>
        </w:p>
        <w:p w14:paraId="07ABF909">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_Toc9940 </w:instrText>
          </w:r>
          <w:r>
            <w:rPr>
              <w:rFonts w:hint="default" w:ascii="Times New Roman" w:hAnsi="Times New Roman" w:cs="Times New Roman"/>
              <w:color w:val="auto"/>
            </w:rPr>
            <w:fldChar w:fldCharType="separate"/>
          </w:r>
          <w:r>
            <w:rPr>
              <w:rFonts w:hint="default" w:ascii="Times New Roman" w:hAnsi="Times New Roman" w:cs="Times New Roman"/>
              <w:color w:val="auto"/>
            </w:rPr>
            <w:t>（三）</w:t>
          </w:r>
          <w:r>
            <w:rPr>
              <w:rFonts w:hint="default" w:ascii="Times New Roman" w:hAnsi="Times New Roman" w:cs="Times New Roman"/>
              <w:color w:val="auto"/>
              <w:lang w:eastAsia="zh-CN"/>
            </w:rPr>
            <w:t>健全</w:t>
          </w:r>
          <w:r>
            <w:rPr>
              <w:rFonts w:hint="default" w:ascii="Times New Roman" w:hAnsi="Times New Roman" w:cs="Times New Roman"/>
              <w:color w:val="auto"/>
            </w:rPr>
            <w:t>农民专业合作社</w:t>
          </w:r>
          <w:r>
            <w:rPr>
              <w:rFonts w:hint="default" w:ascii="Times New Roman" w:hAnsi="Times New Roman" w:cs="Times New Roman"/>
              <w:color w:val="auto"/>
              <w:lang w:eastAsia="zh-CN"/>
            </w:rPr>
            <w:t>运行</w:t>
          </w:r>
          <w:r>
            <w:rPr>
              <w:rFonts w:hint="default" w:ascii="Times New Roman" w:hAnsi="Times New Roman" w:cs="Times New Roman"/>
              <w:color w:val="auto"/>
            </w:rPr>
            <w:t>机制</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_Toc9940 \h </w:instrText>
          </w:r>
          <w:r>
            <w:rPr>
              <w:rFonts w:ascii="Times New Roman" w:hAnsi="Times New Roman"/>
              <w:color w:val="auto"/>
            </w:rPr>
            <w:fldChar w:fldCharType="separate"/>
          </w:r>
          <w:r>
            <w:rPr>
              <w:rFonts w:ascii="Times New Roman" w:hAnsi="Times New Roman"/>
              <w:color w:val="auto"/>
            </w:rPr>
            <w:t>51</w:t>
          </w:r>
          <w:r>
            <w:rPr>
              <w:rFonts w:ascii="Times New Roman" w:hAnsi="Times New Roman"/>
              <w:color w:val="auto"/>
            </w:rPr>
            <w:fldChar w:fldCharType="end"/>
          </w:r>
          <w:r>
            <w:rPr>
              <w:rFonts w:hint="default" w:ascii="Times New Roman" w:hAnsi="Times New Roman" w:cs="Times New Roman"/>
              <w:color w:val="auto"/>
            </w:rPr>
            <w:fldChar w:fldCharType="end"/>
          </w:r>
        </w:p>
        <w:p w14:paraId="5E3660E5">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_Toc31205 </w:instrText>
          </w:r>
          <w:r>
            <w:rPr>
              <w:rFonts w:hint="default" w:ascii="Times New Roman" w:hAnsi="Times New Roman" w:cs="Times New Roman"/>
              <w:color w:val="auto"/>
            </w:rPr>
            <w:fldChar w:fldCharType="separate"/>
          </w:r>
          <w:r>
            <w:rPr>
              <w:rFonts w:hint="default" w:ascii="Times New Roman" w:hAnsi="Times New Roman" w:cs="Times New Roman"/>
              <w:color w:val="auto"/>
            </w:rPr>
            <w:t>（四）鼓励</w:t>
          </w:r>
          <w:r>
            <w:rPr>
              <w:rFonts w:hint="default" w:ascii="Times New Roman" w:hAnsi="Times New Roman" w:cs="Times New Roman"/>
              <w:color w:val="auto"/>
              <w:lang w:val="en-US" w:eastAsia="zh-CN"/>
            </w:rPr>
            <w:t>新型</w:t>
          </w:r>
          <w:r>
            <w:rPr>
              <w:rFonts w:hint="default" w:ascii="Times New Roman" w:hAnsi="Times New Roman" w:cs="Times New Roman"/>
              <w:color w:val="auto"/>
            </w:rPr>
            <w:t>农业经营主体的联合和带动</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_Toc31205 \h </w:instrText>
          </w:r>
          <w:r>
            <w:rPr>
              <w:rFonts w:ascii="Times New Roman" w:hAnsi="Times New Roman"/>
              <w:color w:val="auto"/>
            </w:rPr>
            <w:fldChar w:fldCharType="separate"/>
          </w:r>
          <w:r>
            <w:rPr>
              <w:rFonts w:ascii="Times New Roman" w:hAnsi="Times New Roman"/>
              <w:color w:val="auto"/>
            </w:rPr>
            <w:t>52</w:t>
          </w:r>
          <w:r>
            <w:rPr>
              <w:rFonts w:ascii="Times New Roman" w:hAnsi="Times New Roman"/>
              <w:color w:val="auto"/>
            </w:rPr>
            <w:fldChar w:fldCharType="end"/>
          </w:r>
          <w:r>
            <w:rPr>
              <w:rFonts w:hint="default" w:ascii="Times New Roman" w:hAnsi="Times New Roman" w:cs="Times New Roman"/>
              <w:color w:val="auto"/>
            </w:rPr>
            <w:fldChar w:fldCharType="end"/>
          </w:r>
        </w:p>
        <w:p w14:paraId="34A58274">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_Toc3377 </w:instrText>
          </w:r>
          <w:r>
            <w:rPr>
              <w:rFonts w:hint="default" w:ascii="Times New Roman" w:hAnsi="Times New Roman" w:cs="Times New Roman"/>
              <w:color w:val="auto"/>
            </w:rPr>
            <w:fldChar w:fldCharType="separate"/>
          </w:r>
          <w:r>
            <w:rPr>
              <w:rFonts w:hint="default" w:ascii="Times New Roman" w:hAnsi="Times New Roman" w:cs="Times New Roman"/>
              <w:color w:val="auto"/>
            </w:rPr>
            <w:t>（五）</w:t>
          </w:r>
          <w:r>
            <w:rPr>
              <w:rFonts w:hint="default" w:ascii="Times New Roman" w:hAnsi="Times New Roman" w:cs="Times New Roman"/>
              <w:color w:val="auto"/>
              <w:lang w:eastAsia="zh-CN"/>
            </w:rPr>
            <w:t>构建</w:t>
          </w:r>
          <w:r>
            <w:rPr>
              <w:rFonts w:hint="default" w:ascii="Times New Roman" w:hAnsi="Times New Roman" w:cs="Times New Roman"/>
              <w:color w:val="auto"/>
            </w:rPr>
            <w:t>多元化农业社会化服务</w:t>
          </w:r>
          <w:r>
            <w:rPr>
              <w:rFonts w:hint="default" w:ascii="Times New Roman" w:hAnsi="Times New Roman" w:cs="Times New Roman"/>
              <w:color w:val="auto"/>
              <w:lang w:eastAsia="zh-CN"/>
            </w:rPr>
            <w:t>体系</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_Toc3377 \h </w:instrText>
          </w:r>
          <w:r>
            <w:rPr>
              <w:rFonts w:ascii="Times New Roman" w:hAnsi="Times New Roman"/>
              <w:color w:val="auto"/>
            </w:rPr>
            <w:fldChar w:fldCharType="separate"/>
          </w:r>
          <w:r>
            <w:rPr>
              <w:rFonts w:ascii="Times New Roman" w:hAnsi="Times New Roman"/>
              <w:color w:val="auto"/>
            </w:rPr>
            <w:t>53</w:t>
          </w:r>
          <w:r>
            <w:rPr>
              <w:rFonts w:ascii="Times New Roman" w:hAnsi="Times New Roman"/>
              <w:color w:val="auto"/>
            </w:rPr>
            <w:fldChar w:fldCharType="end"/>
          </w:r>
          <w:r>
            <w:rPr>
              <w:rFonts w:hint="default" w:ascii="Times New Roman" w:hAnsi="Times New Roman" w:cs="Times New Roman"/>
              <w:color w:val="auto"/>
            </w:rPr>
            <w:fldChar w:fldCharType="end"/>
          </w:r>
        </w:p>
        <w:p w14:paraId="0B03D81E">
          <w:pPr>
            <w:pStyle w:val="16"/>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_Toc31747 </w:instrText>
          </w:r>
          <w:r>
            <w:rPr>
              <w:rFonts w:hint="default" w:ascii="Times New Roman" w:hAnsi="Times New Roman" w:cs="Times New Roman"/>
              <w:color w:val="auto"/>
            </w:rPr>
            <w:fldChar w:fldCharType="separate"/>
          </w:r>
          <w:r>
            <w:rPr>
              <w:rFonts w:hint="default" w:ascii="Times New Roman" w:hAnsi="Times New Roman" w:eastAsia="黑体" w:cs="Times New Roman"/>
              <w:color w:val="auto"/>
            </w:rPr>
            <w:t xml:space="preserve">第三章 </w:t>
          </w:r>
          <w:r>
            <w:rPr>
              <w:rFonts w:hint="default" w:ascii="Times New Roman" w:hAnsi="Times New Roman" w:eastAsia="黑体" w:cs="Times New Roman"/>
              <w:color w:val="auto"/>
              <w:lang w:eastAsia="zh-CN"/>
            </w:rPr>
            <w:t>建设宜居宜业和美乡村</w:t>
          </w:r>
          <w:r>
            <w:rPr>
              <w:rFonts w:hint="default" w:ascii="Times New Roman" w:hAnsi="Times New Roman" w:eastAsia="黑体" w:cs="Times New Roman"/>
              <w:color w:val="auto"/>
            </w:rPr>
            <w:t xml:space="preserve"> 实现</w:t>
          </w:r>
          <w:r>
            <w:rPr>
              <w:rFonts w:hint="default" w:ascii="Times New Roman" w:hAnsi="Times New Roman" w:eastAsia="黑体" w:cs="Times New Roman"/>
              <w:color w:val="auto"/>
              <w:lang w:eastAsia="zh-CN"/>
            </w:rPr>
            <w:t>“</w:t>
          </w:r>
          <w:r>
            <w:rPr>
              <w:rFonts w:hint="default" w:ascii="Times New Roman" w:hAnsi="Times New Roman" w:eastAsia="黑体" w:cs="Times New Roman"/>
              <w:color w:val="auto"/>
            </w:rPr>
            <w:t>农村</w:t>
          </w:r>
          <w:r>
            <w:rPr>
              <w:rFonts w:hint="default" w:ascii="Times New Roman" w:hAnsi="Times New Roman" w:eastAsia="黑体" w:cs="Times New Roman"/>
              <w:color w:val="auto"/>
              <w:lang w:eastAsia="zh-CN"/>
            </w:rPr>
            <w:t>更</w:t>
          </w:r>
          <w:r>
            <w:rPr>
              <w:rFonts w:hint="default" w:ascii="Times New Roman" w:hAnsi="Times New Roman" w:eastAsia="黑体" w:cs="Times New Roman"/>
              <w:color w:val="auto"/>
            </w:rPr>
            <w:t>美</w:t>
          </w:r>
          <w:r>
            <w:rPr>
              <w:rFonts w:hint="default" w:ascii="Times New Roman" w:hAnsi="Times New Roman" w:eastAsia="黑体" w:cs="Times New Roman"/>
              <w:color w:val="auto"/>
              <w:lang w:eastAsia="zh-CN"/>
            </w:rPr>
            <w:t>”</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_Toc31747 \h </w:instrText>
          </w:r>
          <w:r>
            <w:rPr>
              <w:rFonts w:ascii="Times New Roman" w:hAnsi="Times New Roman"/>
              <w:color w:val="auto"/>
            </w:rPr>
            <w:fldChar w:fldCharType="separate"/>
          </w:r>
          <w:r>
            <w:rPr>
              <w:rFonts w:ascii="Times New Roman" w:hAnsi="Times New Roman"/>
              <w:color w:val="auto"/>
            </w:rPr>
            <w:t>55</w:t>
          </w:r>
          <w:r>
            <w:rPr>
              <w:rFonts w:ascii="Times New Roman" w:hAnsi="Times New Roman"/>
              <w:color w:val="auto"/>
            </w:rPr>
            <w:fldChar w:fldCharType="end"/>
          </w:r>
          <w:r>
            <w:rPr>
              <w:rFonts w:hint="default" w:ascii="Times New Roman" w:hAnsi="Times New Roman" w:cs="Times New Roman"/>
              <w:color w:val="auto"/>
            </w:rPr>
            <w:fldChar w:fldCharType="end"/>
          </w:r>
        </w:p>
        <w:p w14:paraId="51964E3E">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hint="eastAsia" w:ascii="Times New Roman" w:hAnsi="Times New Roman" w:eastAsia="楷体_GB2312" w:cs="楷体_GB2312"/>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_Toc2777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rPr>
            <w:t>一、持续开展宜居宜业和美乡村建设</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_Toc2777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55</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10A0A46D">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_Toc3108 </w:instrText>
          </w:r>
          <w:r>
            <w:rPr>
              <w:rFonts w:hint="default" w:ascii="Times New Roman" w:hAnsi="Times New Roman" w:cs="Times New Roman"/>
              <w:color w:val="auto"/>
            </w:rPr>
            <w:fldChar w:fldCharType="separate"/>
          </w:r>
          <w:r>
            <w:rPr>
              <w:rFonts w:hint="default" w:ascii="Times New Roman" w:hAnsi="Times New Roman" w:cs="Times New Roman"/>
              <w:color w:val="auto"/>
            </w:rPr>
            <w:t>（一）</w:t>
          </w:r>
          <w:r>
            <w:rPr>
              <w:rFonts w:hint="default" w:ascii="Times New Roman" w:hAnsi="Times New Roman" w:cs="Times New Roman"/>
              <w:color w:val="auto"/>
              <w:lang w:val="en-US" w:eastAsia="zh-CN"/>
            </w:rPr>
            <w:t>深化</w:t>
          </w:r>
          <w:r>
            <w:rPr>
              <w:rFonts w:hint="default" w:ascii="Times New Roman" w:hAnsi="Times New Roman" w:cs="Times New Roman"/>
              <w:color w:val="auto"/>
            </w:rPr>
            <w:t>乡村振兴建设</w:t>
          </w:r>
          <w:r>
            <w:rPr>
              <w:rFonts w:hint="default" w:ascii="Times New Roman" w:hAnsi="Times New Roman" w:cs="Times New Roman"/>
              <w:color w:val="auto"/>
              <w:lang w:val="en-US" w:eastAsia="zh-CN"/>
            </w:rPr>
            <w:t>成果</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_Toc3108 \h </w:instrText>
          </w:r>
          <w:r>
            <w:rPr>
              <w:rFonts w:ascii="Times New Roman" w:hAnsi="Times New Roman"/>
              <w:color w:val="auto"/>
            </w:rPr>
            <w:fldChar w:fldCharType="separate"/>
          </w:r>
          <w:r>
            <w:rPr>
              <w:rFonts w:ascii="Times New Roman" w:hAnsi="Times New Roman"/>
              <w:color w:val="auto"/>
            </w:rPr>
            <w:t>55</w:t>
          </w:r>
          <w:r>
            <w:rPr>
              <w:rFonts w:ascii="Times New Roman" w:hAnsi="Times New Roman"/>
              <w:color w:val="auto"/>
            </w:rPr>
            <w:fldChar w:fldCharType="end"/>
          </w:r>
          <w:r>
            <w:rPr>
              <w:rFonts w:hint="default" w:ascii="Times New Roman" w:hAnsi="Times New Roman" w:cs="Times New Roman"/>
              <w:color w:val="auto"/>
            </w:rPr>
            <w:fldChar w:fldCharType="end"/>
          </w:r>
        </w:p>
        <w:p w14:paraId="06E1C7B8">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_Toc32721 </w:instrText>
          </w:r>
          <w:r>
            <w:rPr>
              <w:rFonts w:hint="default" w:ascii="Times New Roman" w:hAnsi="Times New Roman" w:cs="Times New Roman"/>
              <w:color w:val="auto"/>
            </w:rPr>
            <w:fldChar w:fldCharType="separate"/>
          </w:r>
          <w:r>
            <w:rPr>
              <w:rFonts w:hint="default" w:ascii="Times New Roman" w:hAnsi="Times New Roman" w:cs="Times New Roman"/>
              <w:color w:val="auto"/>
              <w:lang w:val="en-US" w:eastAsia="zh-CN"/>
            </w:rPr>
            <w:t>（二）打造</w:t>
          </w:r>
          <w:r>
            <w:rPr>
              <w:rFonts w:hint="default" w:ascii="Times New Roman" w:hAnsi="Times New Roman" w:cs="Times New Roman"/>
              <w:color w:val="auto"/>
            </w:rPr>
            <w:t>宜居宜业和美乡村</w:t>
          </w:r>
          <w:r>
            <w:rPr>
              <w:rFonts w:hint="default" w:ascii="Times New Roman" w:hAnsi="Times New Roman" w:cs="Times New Roman"/>
              <w:color w:val="auto"/>
              <w:lang w:val="en-US" w:eastAsia="zh-CN"/>
            </w:rPr>
            <w:t>片区</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_Toc32721 \h </w:instrText>
          </w:r>
          <w:r>
            <w:rPr>
              <w:rFonts w:ascii="Times New Roman" w:hAnsi="Times New Roman"/>
              <w:color w:val="auto"/>
            </w:rPr>
            <w:fldChar w:fldCharType="separate"/>
          </w:r>
          <w:r>
            <w:rPr>
              <w:rFonts w:ascii="Times New Roman" w:hAnsi="Times New Roman"/>
              <w:color w:val="auto"/>
            </w:rPr>
            <w:t>56</w:t>
          </w:r>
          <w:r>
            <w:rPr>
              <w:rFonts w:ascii="Times New Roman" w:hAnsi="Times New Roman"/>
              <w:color w:val="auto"/>
            </w:rPr>
            <w:fldChar w:fldCharType="end"/>
          </w:r>
          <w:r>
            <w:rPr>
              <w:rFonts w:hint="default" w:ascii="Times New Roman" w:hAnsi="Times New Roman" w:cs="Times New Roman"/>
              <w:color w:val="auto"/>
            </w:rPr>
            <w:fldChar w:fldCharType="end"/>
          </w:r>
        </w:p>
        <w:p w14:paraId="1F0757CB">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_Toc31567 </w:instrText>
          </w:r>
          <w:r>
            <w:rPr>
              <w:rFonts w:hint="default" w:ascii="Times New Roman" w:hAnsi="Times New Roman" w:cs="Times New Roman"/>
              <w:color w:val="auto"/>
            </w:rPr>
            <w:fldChar w:fldCharType="separate"/>
          </w:r>
          <w:r>
            <w:rPr>
              <w:rFonts w:hint="default" w:ascii="Times New Roman" w:hAnsi="Times New Roman" w:cs="Times New Roman"/>
              <w:color w:val="auto"/>
            </w:rPr>
            <w:t>（</w:t>
          </w:r>
          <w:r>
            <w:rPr>
              <w:rFonts w:hint="default" w:ascii="Times New Roman" w:hAnsi="Times New Roman" w:cs="Times New Roman"/>
              <w:color w:val="auto"/>
              <w:lang w:eastAsia="zh-CN"/>
            </w:rPr>
            <w:t>三</w:t>
          </w:r>
          <w:r>
            <w:rPr>
              <w:rFonts w:hint="default" w:ascii="Times New Roman" w:hAnsi="Times New Roman" w:cs="Times New Roman"/>
              <w:color w:val="auto"/>
            </w:rPr>
            <w:t>）提高乡村人居环境舒适度</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_Toc31567 \h </w:instrText>
          </w:r>
          <w:r>
            <w:rPr>
              <w:rFonts w:ascii="Times New Roman" w:hAnsi="Times New Roman"/>
              <w:color w:val="auto"/>
            </w:rPr>
            <w:fldChar w:fldCharType="separate"/>
          </w:r>
          <w:r>
            <w:rPr>
              <w:rFonts w:ascii="Times New Roman" w:hAnsi="Times New Roman"/>
              <w:color w:val="auto"/>
            </w:rPr>
            <w:t>57</w:t>
          </w:r>
          <w:r>
            <w:rPr>
              <w:rFonts w:ascii="Times New Roman" w:hAnsi="Times New Roman"/>
              <w:color w:val="auto"/>
            </w:rPr>
            <w:fldChar w:fldCharType="end"/>
          </w:r>
          <w:r>
            <w:rPr>
              <w:rFonts w:hint="default" w:ascii="Times New Roman" w:hAnsi="Times New Roman" w:cs="Times New Roman"/>
              <w:color w:val="auto"/>
            </w:rPr>
            <w:fldChar w:fldCharType="end"/>
          </w:r>
        </w:p>
        <w:p w14:paraId="0247276A">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_Toc3504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lang w:val="en-US" w:eastAsia="zh-CN"/>
            </w:rPr>
            <w:t>二</w:t>
          </w:r>
          <w:r>
            <w:rPr>
              <w:rFonts w:hint="default" w:ascii="Times New Roman" w:hAnsi="Times New Roman" w:eastAsia="楷体_GB2312" w:cs="楷体_GB2312"/>
              <w:color w:val="auto"/>
            </w:rPr>
            <w:t>、</w:t>
          </w:r>
          <w:r>
            <w:rPr>
              <w:rFonts w:hint="default" w:ascii="Times New Roman" w:hAnsi="Times New Roman" w:eastAsia="楷体_GB2312" w:cs="楷体_GB2312"/>
              <w:color w:val="auto"/>
              <w:lang w:eastAsia="zh-CN"/>
            </w:rPr>
            <w:t>深化农村</w:t>
          </w:r>
          <w:r>
            <w:rPr>
              <w:rFonts w:hint="default" w:ascii="Times New Roman" w:hAnsi="Times New Roman" w:eastAsia="楷体_GB2312" w:cs="楷体_GB2312"/>
              <w:color w:val="auto"/>
            </w:rPr>
            <w:t>改革激发</w:t>
          </w:r>
          <w:r>
            <w:rPr>
              <w:rFonts w:hint="default" w:ascii="Times New Roman" w:hAnsi="Times New Roman" w:eastAsia="楷体_GB2312" w:cs="楷体_GB2312"/>
              <w:color w:val="auto"/>
              <w:lang w:eastAsia="zh-CN"/>
            </w:rPr>
            <w:t>乡村</w:t>
          </w:r>
          <w:r>
            <w:rPr>
              <w:rFonts w:hint="default" w:ascii="Times New Roman" w:hAnsi="Times New Roman" w:eastAsia="楷体_GB2312" w:cs="楷体_GB2312"/>
              <w:color w:val="auto"/>
            </w:rPr>
            <w:t>活力</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_Toc3504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60</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56190FF8">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_Toc28336 </w:instrText>
          </w:r>
          <w:r>
            <w:rPr>
              <w:rFonts w:hint="default" w:ascii="Times New Roman" w:hAnsi="Times New Roman" w:cs="Times New Roman"/>
              <w:color w:val="auto"/>
            </w:rPr>
            <w:fldChar w:fldCharType="separate"/>
          </w:r>
          <w:r>
            <w:rPr>
              <w:rFonts w:hint="default" w:ascii="Times New Roman" w:hAnsi="Times New Roman" w:eastAsia="楷体_GB2312" w:cs="Times New Roman"/>
              <w:color w:val="auto"/>
              <w:szCs w:val="24"/>
              <w:lang w:val="en-US" w:eastAsia="zh-CN" w:bidi="ar-SA"/>
            </w:rPr>
            <w:t>（一）</w:t>
          </w:r>
          <w:r>
            <w:rPr>
              <w:rFonts w:hint="default" w:ascii="Times New Roman" w:hAnsi="Times New Roman" w:cs="Times New Roman"/>
              <w:color w:val="auto"/>
            </w:rPr>
            <w:t>巩固和完善农村基本经营制度</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_Toc28336 \h </w:instrText>
          </w:r>
          <w:r>
            <w:rPr>
              <w:rFonts w:ascii="Times New Roman" w:hAnsi="Times New Roman"/>
              <w:color w:val="auto"/>
            </w:rPr>
            <w:fldChar w:fldCharType="separate"/>
          </w:r>
          <w:r>
            <w:rPr>
              <w:rFonts w:ascii="Times New Roman" w:hAnsi="Times New Roman"/>
              <w:color w:val="auto"/>
            </w:rPr>
            <w:t>60</w:t>
          </w:r>
          <w:r>
            <w:rPr>
              <w:rFonts w:ascii="Times New Roman" w:hAnsi="Times New Roman"/>
              <w:color w:val="auto"/>
            </w:rPr>
            <w:fldChar w:fldCharType="end"/>
          </w:r>
          <w:r>
            <w:rPr>
              <w:rFonts w:hint="default" w:ascii="Times New Roman" w:hAnsi="Times New Roman" w:cs="Times New Roman"/>
              <w:color w:val="auto"/>
            </w:rPr>
            <w:fldChar w:fldCharType="end"/>
          </w:r>
        </w:p>
        <w:p w14:paraId="3AFE2AA6">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_Toc20282 </w:instrText>
          </w:r>
          <w:r>
            <w:rPr>
              <w:rFonts w:hint="default" w:ascii="Times New Roman" w:hAnsi="Times New Roman" w:cs="Times New Roman"/>
              <w:color w:val="auto"/>
            </w:rPr>
            <w:fldChar w:fldCharType="separate"/>
          </w:r>
          <w:r>
            <w:rPr>
              <w:rFonts w:hint="default" w:ascii="Times New Roman" w:hAnsi="Times New Roman" w:cs="Times New Roman"/>
              <w:color w:val="auto"/>
            </w:rPr>
            <w:t>（二）深化农村产权制度改革</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_Toc20282 \h </w:instrText>
          </w:r>
          <w:r>
            <w:rPr>
              <w:rFonts w:ascii="Times New Roman" w:hAnsi="Times New Roman"/>
              <w:color w:val="auto"/>
            </w:rPr>
            <w:fldChar w:fldCharType="separate"/>
          </w:r>
          <w:r>
            <w:rPr>
              <w:rFonts w:ascii="Times New Roman" w:hAnsi="Times New Roman"/>
              <w:color w:val="auto"/>
            </w:rPr>
            <w:t>60</w:t>
          </w:r>
          <w:r>
            <w:rPr>
              <w:rFonts w:ascii="Times New Roman" w:hAnsi="Times New Roman"/>
              <w:color w:val="auto"/>
            </w:rPr>
            <w:fldChar w:fldCharType="end"/>
          </w:r>
          <w:r>
            <w:rPr>
              <w:rFonts w:hint="default" w:ascii="Times New Roman" w:hAnsi="Times New Roman" w:cs="Times New Roman"/>
              <w:color w:val="auto"/>
            </w:rPr>
            <w:fldChar w:fldCharType="end"/>
          </w:r>
        </w:p>
        <w:p w14:paraId="1C703D25">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_Toc32560 </w:instrText>
          </w:r>
          <w:r>
            <w:rPr>
              <w:rFonts w:hint="default" w:ascii="Times New Roman" w:hAnsi="Times New Roman" w:cs="Times New Roman"/>
              <w:color w:val="auto"/>
            </w:rPr>
            <w:fldChar w:fldCharType="separate"/>
          </w:r>
          <w:r>
            <w:rPr>
              <w:rFonts w:hint="default" w:ascii="Times New Roman" w:hAnsi="Times New Roman" w:cs="Times New Roman"/>
              <w:color w:val="auto"/>
              <w:lang w:val="en-US" w:eastAsia="zh-CN"/>
            </w:rPr>
            <w:t>（三）加强</w:t>
          </w:r>
          <w:r>
            <w:rPr>
              <w:rFonts w:hint="default" w:ascii="Times New Roman" w:hAnsi="Times New Roman" w:cs="Times New Roman"/>
              <w:color w:val="auto"/>
            </w:rPr>
            <w:t>农村宅基地</w:t>
          </w:r>
          <w:r>
            <w:rPr>
              <w:rFonts w:hint="default" w:ascii="Times New Roman" w:hAnsi="Times New Roman" w:cs="Times New Roman"/>
              <w:color w:val="auto"/>
              <w:lang w:val="en-US" w:eastAsia="zh-CN"/>
            </w:rPr>
            <w:t>规范化</w:t>
          </w:r>
          <w:r>
            <w:rPr>
              <w:rFonts w:hint="default" w:ascii="Times New Roman" w:hAnsi="Times New Roman" w:cs="Times New Roman"/>
              <w:color w:val="auto"/>
            </w:rPr>
            <w:t>管理</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_Toc32560 \h </w:instrText>
          </w:r>
          <w:r>
            <w:rPr>
              <w:rFonts w:ascii="Times New Roman" w:hAnsi="Times New Roman"/>
              <w:color w:val="auto"/>
            </w:rPr>
            <w:fldChar w:fldCharType="separate"/>
          </w:r>
          <w:r>
            <w:rPr>
              <w:rFonts w:ascii="Times New Roman" w:hAnsi="Times New Roman"/>
              <w:color w:val="auto"/>
            </w:rPr>
            <w:t>61</w:t>
          </w:r>
          <w:r>
            <w:rPr>
              <w:rFonts w:ascii="Times New Roman" w:hAnsi="Times New Roman"/>
              <w:color w:val="auto"/>
            </w:rPr>
            <w:fldChar w:fldCharType="end"/>
          </w:r>
          <w:r>
            <w:rPr>
              <w:rFonts w:hint="default" w:ascii="Times New Roman" w:hAnsi="Times New Roman" w:cs="Times New Roman"/>
              <w:color w:val="auto"/>
            </w:rPr>
            <w:fldChar w:fldCharType="end"/>
          </w:r>
        </w:p>
        <w:p w14:paraId="1E21B4B1">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_Toc9727 </w:instrText>
          </w:r>
          <w:r>
            <w:rPr>
              <w:rFonts w:hint="default" w:ascii="Times New Roman" w:hAnsi="Times New Roman" w:cs="Times New Roman"/>
              <w:color w:val="auto"/>
            </w:rPr>
            <w:fldChar w:fldCharType="separate"/>
          </w:r>
          <w:r>
            <w:rPr>
              <w:rFonts w:hint="default" w:ascii="Times New Roman" w:hAnsi="Times New Roman" w:cs="Times New Roman"/>
              <w:color w:val="auto"/>
              <w:lang w:val="en-US" w:eastAsia="zh-CN"/>
            </w:rPr>
            <w:t>（四）提升农业农村执法水平</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_Toc9727 \h </w:instrText>
          </w:r>
          <w:r>
            <w:rPr>
              <w:rFonts w:ascii="Times New Roman" w:hAnsi="Times New Roman"/>
              <w:color w:val="auto"/>
            </w:rPr>
            <w:fldChar w:fldCharType="separate"/>
          </w:r>
          <w:r>
            <w:rPr>
              <w:rFonts w:ascii="Times New Roman" w:hAnsi="Times New Roman"/>
              <w:color w:val="auto"/>
            </w:rPr>
            <w:t>61</w:t>
          </w:r>
          <w:r>
            <w:rPr>
              <w:rFonts w:ascii="Times New Roman" w:hAnsi="Times New Roman"/>
              <w:color w:val="auto"/>
            </w:rPr>
            <w:fldChar w:fldCharType="end"/>
          </w:r>
          <w:r>
            <w:rPr>
              <w:rFonts w:hint="default" w:ascii="Times New Roman" w:hAnsi="Times New Roman" w:cs="Times New Roman"/>
              <w:color w:val="auto"/>
            </w:rPr>
            <w:fldChar w:fldCharType="end"/>
          </w:r>
        </w:p>
        <w:p w14:paraId="2A5B9A1B">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_Toc19239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lang w:val="en-US" w:eastAsia="zh-CN"/>
            </w:rPr>
            <w:t>三、提升乡村治理效能</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_Toc19239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62</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2780BFD0">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_Toc5601 </w:instrText>
          </w:r>
          <w:r>
            <w:rPr>
              <w:rFonts w:hint="default" w:ascii="Times New Roman" w:hAnsi="Times New Roman" w:cs="Times New Roman"/>
              <w:color w:val="auto"/>
            </w:rPr>
            <w:fldChar w:fldCharType="separate"/>
          </w:r>
          <w:r>
            <w:rPr>
              <w:rFonts w:hint="default" w:ascii="Times New Roman" w:hAnsi="Times New Roman" w:cs="Times New Roman"/>
              <w:color w:val="auto"/>
              <w:lang w:val="en-US" w:eastAsia="zh-CN"/>
            </w:rPr>
            <w:t>（一）强化党建引领乡村治理</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_Toc5601 \h </w:instrText>
          </w:r>
          <w:r>
            <w:rPr>
              <w:rFonts w:ascii="Times New Roman" w:hAnsi="Times New Roman"/>
              <w:color w:val="auto"/>
            </w:rPr>
            <w:fldChar w:fldCharType="separate"/>
          </w:r>
          <w:r>
            <w:rPr>
              <w:rFonts w:ascii="Times New Roman" w:hAnsi="Times New Roman"/>
              <w:color w:val="auto"/>
            </w:rPr>
            <w:t>62</w:t>
          </w:r>
          <w:r>
            <w:rPr>
              <w:rFonts w:ascii="Times New Roman" w:hAnsi="Times New Roman"/>
              <w:color w:val="auto"/>
            </w:rPr>
            <w:fldChar w:fldCharType="end"/>
          </w:r>
          <w:r>
            <w:rPr>
              <w:rFonts w:hint="default" w:ascii="Times New Roman" w:hAnsi="Times New Roman" w:cs="Times New Roman"/>
              <w:color w:val="auto"/>
            </w:rPr>
            <w:fldChar w:fldCharType="end"/>
          </w:r>
        </w:p>
        <w:p w14:paraId="4EF2972C">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_Toc12881 </w:instrText>
          </w:r>
          <w:r>
            <w:rPr>
              <w:rFonts w:hint="default" w:ascii="Times New Roman" w:hAnsi="Times New Roman" w:cs="Times New Roman"/>
              <w:color w:val="auto"/>
            </w:rPr>
            <w:fldChar w:fldCharType="separate"/>
          </w:r>
          <w:r>
            <w:rPr>
              <w:rFonts w:hint="default" w:ascii="Times New Roman" w:hAnsi="Times New Roman" w:cs="Times New Roman"/>
              <w:color w:val="auto"/>
              <w:lang w:val="en-US" w:eastAsia="zh-CN"/>
            </w:rPr>
            <w:t>（二）完善“四治融合”乡村治理模式</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_Toc12881 \h </w:instrText>
          </w:r>
          <w:r>
            <w:rPr>
              <w:rFonts w:ascii="Times New Roman" w:hAnsi="Times New Roman"/>
              <w:color w:val="auto"/>
            </w:rPr>
            <w:fldChar w:fldCharType="separate"/>
          </w:r>
          <w:r>
            <w:rPr>
              <w:rFonts w:ascii="Times New Roman" w:hAnsi="Times New Roman"/>
              <w:color w:val="auto"/>
            </w:rPr>
            <w:t>62</w:t>
          </w:r>
          <w:r>
            <w:rPr>
              <w:rFonts w:ascii="Times New Roman" w:hAnsi="Times New Roman"/>
              <w:color w:val="auto"/>
            </w:rPr>
            <w:fldChar w:fldCharType="end"/>
          </w:r>
          <w:r>
            <w:rPr>
              <w:rFonts w:hint="default" w:ascii="Times New Roman" w:hAnsi="Times New Roman" w:cs="Times New Roman"/>
              <w:color w:val="auto"/>
            </w:rPr>
            <w:fldChar w:fldCharType="end"/>
          </w:r>
        </w:p>
        <w:p w14:paraId="196CCB5B">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_Toc9625 </w:instrText>
          </w:r>
          <w:r>
            <w:rPr>
              <w:rFonts w:hint="default" w:ascii="Times New Roman" w:hAnsi="Times New Roman" w:cs="Times New Roman"/>
              <w:color w:val="auto"/>
            </w:rPr>
            <w:fldChar w:fldCharType="separate"/>
          </w:r>
          <w:r>
            <w:rPr>
              <w:rFonts w:hint="default" w:ascii="Times New Roman" w:hAnsi="Times New Roman" w:cs="Times New Roman"/>
              <w:color w:val="auto"/>
              <w:lang w:val="en-US" w:eastAsia="zh-CN"/>
            </w:rPr>
            <w:t>（三）凝聚多元联动的乡村治理合力</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_Toc9625 \h </w:instrText>
          </w:r>
          <w:r>
            <w:rPr>
              <w:rFonts w:ascii="Times New Roman" w:hAnsi="Times New Roman"/>
              <w:color w:val="auto"/>
            </w:rPr>
            <w:fldChar w:fldCharType="separate"/>
          </w:r>
          <w:r>
            <w:rPr>
              <w:rFonts w:ascii="Times New Roman" w:hAnsi="Times New Roman"/>
              <w:color w:val="auto"/>
            </w:rPr>
            <w:t>63</w:t>
          </w:r>
          <w:r>
            <w:rPr>
              <w:rFonts w:ascii="Times New Roman" w:hAnsi="Times New Roman"/>
              <w:color w:val="auto"/>
            </w:rPr>
            <w:fldChar w:fldCharType="end"/>
          </w:r>
          <w:r>
            <w:rPr>
              <w:rFonts w:hint="default" w:ascii="Times New Roman" w:hAnsi="Times New Roman" w:cs="Times New Roman"/>
              <w:color w:val="auto"/>
            </w:rPr>
            <w:fldChar w:fldCharType="end"/>
          </w:r>
        </w:p>
        <w:p w14:paraId="01A6E8C5">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_Toc30374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lang w:val="en-US" w:eastAsia="zh-CN"/>
            </w:rPr>
            <w:t>四、加强新时代乡风文明建设</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_Toc30374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63</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207254F6">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_Toc13508 </w:instrText>
          </w:r>
          <w:r>
            <w:rPr>
              <w:rFonts w:hint="default" w:ascii="Times New Roman" w:hAnsi="Times New Roman" w:cs="Times New Roman"/>
              <w:color w:val="auto"/>
            </w:rPr>
            <w:fldChar w:fldCharType="separate"/>
          </w:r>
          <w:r>
            <w:rPr>
              <w:rFonts w:hint="default" w:ascii="Times New Roman" w:hAnsi="Times New Roman" w:cs="Times New Roman"/>
              <w:color w:val="auto"/>
              <w:lang w:val="en-US" w:eastAsia="zh-CN"/>
            </w:rPr>
            <w:t>（一）加强文明乡风建设</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_Toc13508 \h </w:instrText>
          </w:r>
          <w:r>
            <w:rPr>
              <w:rFonts w:ascii="Times New Roman" w:hAnsi="Times New Roman"/>
              <w:color w:val="auto"/>
            </w:rPr>
            <w:fldChar w:fldCharType="separate"/>
          </w:r>
          <w:r>
            <w:rPr>
              <w:rFonts w:ascii="Times New Roman" w:hAnsi="Times New Roman"/>
              <w:color w:val="auto"/>
            </w:rPr>
            <w:t>63</w:t>
          </w:r>
          <w:r>
            <w:rPr>
              <w:rFonts w:ascii="Times New Roman" w:hAnsi="Times New Roman"/>
              <w:color w:val="auto"/>
            </w:rPr>
            <w:fldChar w:fldCharType="end"/>
          </w:r>
          <w:r>
            <w:rPr>
              <w:rFonts w:hint="default" w:ascii="Times New Roman" w:hAnsi="Times New Roman" w:cs="Times New Roman"/>
              <w:color w:val="auto"/>
            </w:rPr>
            <w:fldChar w:fldCharType="end"/>
          </w:r>
        </w:p>
        <w:p w14:paraId="14DA9213">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_Toc4300 </w:instrText>
          </w:r>
          <w:r>
            <w:rPr>
              <w:rFonts w:hint="default" w:ascii="Times New Roman" w:hAnsi="Times New Roman" w:cs="Times New Roman"/>
              <w:color w:val="auto"/>
            </w:rPr>
            <w:fldChar w:fldCharType="separate"/>
          </w:r>
          <w:r>
            <w:rPr>
              <w:rFonts w:hint="default" w:ascii="Times New Roman" w:hAnsi="Times New Roman" w:cs="Times New Roman"/>
              <w:color w:val="auto"/>
              <w:lang w:val="en-US" w:eastAsia="zh-CN"/>
            </w:rPr>
            <w:t>（二）强化文艺赋美乡村</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_Toc4300 \h </w:instrText>
          </w:r>
          <w:r>
            <w:rPr>
              <w:rFonts w:ascii="Times New Roman" w:hAnsi="Times New Roman"/>
              <w:color w:val="auto"/>
            </w:rPr>
            <w:fldChar w:fldCharType="separate"/>
          </w:r>
          <w:r>
            <w:rPr>
              <w:rFonts w:ascii="Times New Roman" w:hAnsi="Times New Roman"/>
              <w:color w:val="auto"/>
            </w:rPr>
            <w:t>64</w:t>
          </w:r>
          <w:r>
            <w:rPr>
              <w:rFonts w:ascii="Times New Roman" w:hAnsi="Times New Roman"/>
              <w:color w:val="auto"/>
            </w:rPr>
            <w:fldChar w:fldCharType="end"/>
          </w:r>
          <w:r>
            <w:rPr>
              <w:rFonts w:hint="default" w:ascii="Times New Roman" w:hAnsi="Times New Roman" w:cs="Times New Roman"/>
              <w:color w:val="auto"/>
            </w:rPr>
            <w:fldChar w:fldCharType="end"/>
          </w:r>
        </w:p>
        <w:p w14:paraId="63807BEF">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_Toc31485 </w:instrText>
          </w:r>
          <w:r>
            <w:rPr>
              <w:rFonts w:hint="default" w:ascii="Times New Roman" w:hAnsi="Times New Roman" w:cs="Times New Roman"/>
              <w:color w:val="auto"/>
            </w:rPr>
            <w:fldChar w:fldCharType="separate"/>
          </w:r>
          <w:r>
            <w:rPr>
              <w:rFonts w:hint="default" w:ascii="Times New Roman" w:hAnsi="Times New Roman"/>
              <w:color w:val="auto"/>
              <w:lang w:val="en-US" w:eastAsia="zh-CN"/>
            </w:rPr>
            <w:t>（三）厚植乡村文化底蕴</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_Toc31485 \h </w:instrText>
          </w:r>
          <w:r>
            <w:rPr>
              <w:rFonts w:ascii="Times New Roman" w:hAnsi="Times New Roman"/>
              <w:color w:val="auto"/>
            </w:rPr>
            <w:fldChar w:fldCharType="separate"/>
          </w:r>
          <w:r>
            <w:rPr>
              <w:rFonts w:ascii="Times New Roman" w:hAnsi="Times New Roman"/>
              <w:color w:val="auto"/>
            </w:rPr>
            <w:t>65</w:t>
          </w:r>
          <w:r>
            <w:rPr>
              <w:rFonts w:ascii="Times New Roman" w:hAnsi="Times New Roman"/>
              <w:color w:val="auto"/>
            </w:rPr>
            <w:fldChar w:fldCharType="end"/>
          </w:r>
          <w:r>
            <w:rPr>
              <w:rFonts w:hint="default" w:ascii="Times New Roman" w:hAnsi="Times New Roman" w:cs="Times New Roman"/>
              <w:color w:val="auto"/>
            </w:rPr>
            <w:fldChar w:fldCharType="end"/>
          </w:r>
        </w:p>
        <w:p w14:paraId="087A87CD">
          <w:pPr>
            <w:pStyle w:val="16"/>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_Toc15674 </w:instrText>
          </w:r>
          <w:r>
            <w:rPr>
              <w:rFonts w:hint="default" w:ascii="Times New Roman" w:hAnsi="Times New Roman" w:cs="Times New Roman"/>
              <w:color w:val="auto"/>
            </w:rPr>
            <w:fldChar w:fldCharType="separate"/>
          </w:r>
          <w:r>
            <w:rPr>
              <w:rFonts w:hint="default" w:ascii="Times New Roman" w:hAnsi="Times New Roman" w:eastAsia="黑体" w:cs="Times New Roman"/>
              <w:color w:val="auto"/>
            </w:rPr>
            <w:t xml:space="preserve">第四章 </w:t>
          </w:r>
          <w:r>
            <w:rPr>
              <w:rFonts w:hint="default" w:ascii="Times New Roman" w:hAnsi="Times New Roman" w:eastAsia="黑体" w:cs="Times New Roman"/>
              <w:color w:val="auto"/>
              <w:lang w:eastAsia="zh-CN"/>
            </w:rPr>
            <w:t>促进农民持续增收</w:t>
          </w:r>
          <w:r>
            <w:rPr>
              <w:rFonts w:hint="default" w:ascii="Times New Roman" w:hAnsi="Times New Roman" w:eastAsia="黑体" w:cs="Times New Roman"/>
              <w:color w:val="auto"/>
            </w:rPr>
            <w:t xml:space="preserve"> 实现</w:t>
          </w:r>
          <w:r>
            <w:rPr>
              <w:rFonts w:hint="default" w:ascii="Times New Roman" w:hAnsi="Times New Roman" w:eastAsia="黑体" w:cs="Times New Roman"/>
              <w:color w:val="auto"/>
              <w:lang w:eastAsia="zh-CN"/>
            </w:rPr>
            <w:t>“</w:t>
          </w:r>
          <w:r>
            <w:rPr>
              <w:rFonts w:hint="default" w:ascii="Times New Roman" w:hAnsi="Times New Roman" w:eastAsia="黑体" w:cs="Times New Roman"/>
              <w:color w:val="auto"/>
            </w:rPr>
            <w:t>农民</w:t>
          </w:r>
          <w:r>
            <w:rPr>
              <w:rFonts w:hint="default" w:ascii="Times New Roman" w:hAnsi="Times New Roman" w:eastAsia="黑体" w:cs="Times New Roman"/>
              <w:color w:val="auto"/>
              <w:lang w:eastAsia="zh-CN"/>
            </w:rPr>
            <w:t>更</w:t>
          </w:r>
          <w:r>
            <w:rPr>
              <w:rFonts w:hint="default" w:ascii="Times New Roman" w:hAnsi="Times New Roman" w:eastAsia="黑体" w:cs="Times New Roman"/>
              <w:color w:val="auto"/>
            </w:rPr>
            <w:t>富</w:t>
          </w:r>
          <w:r>
            <w:rPr>
              <w:rFonts w:hint="default" w:ascii="Times New Roman" w:hAnsi="Times New Roman" w:eastAsia="黑体" w:cs="Times New Roman"/>
              <w:color w:val="auto"/>
              <w:lang w:eastAsia="zh-CN"/>
            </w:rPr>
            <w:t>”</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_Toc15674 \h </w:instrText>
          </w:r>
          <w:r>
            <w:rPr>
              <w:rFonts w:ascii="Times New Roman" w:hAnsi="Times New Roman"/>
              <w:color w:val="auto"/>
            </w:rPr>
            <w:fldChar w:fldCharType="separate"/>
          </w:r>
          <w:r>
            <w:rPr>
              <w:rFonts w:ascii="Times New Roman" w:hAnsi="Times New Roman"/>
              <w:color w:val="auto"/>
            </w:rPr>
            <w:t>66</w:t>
          </w:r>
          <w:r>
            <w:rPr>
              <w:rFonts w:ascii="Times New Roman" w:hAnsi="Times New Roman"/>
              <w:color w:val="auto"/>
            </w:rPr>
            <w:fldChar w:fldCharType="end"/>
          </w:r>
          <w:r>
            <w:rPr>
              <w:rFonts w:hint="default" w:ascii="Times New Roman" w:hAnsi="Times New Roman" w:cs="Times New Roman"/>
              <w:color w:val="auto"/>
            </w:rPr>
            <w:fldChar w:fldCharType="end"/>
          </w:r>
        </w:p>
        <w:p w14:paraId="46051EC1">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_Toc16648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lang w:val="en-US" w:eastAsia="zh-CN"/>
            </w:rPr>
            <w:t>一、</w:t>
          </w:r>
          <w:r>
            <w:rPr>
              <w:rFonts w:hint="default" w:ascii="Times New Roman" w:hAnsi="Times New Roman" w:eastAsia="楷体_GB2312" w:cs="楷体_GB2312"/>
              <w:color w:val="auto"/>
              <w:lang w:eastAsia="zh-CN"/>
            </w:rPr>
            <w:t>持续</w:t>
          </w:r>
          <w:r>
            <w:rPr>
              <w:rFonts w:hint="default" w:ascii="Times New Roman" w:hAnsi="Times New Roman" w:eastAsia="楷体_GB2312" w:cs="楷体_GB2312"/>
              <w:color w:val="auto"/>
            </w:rPr>
            <w:t>拓宽农民增收渠道</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_Toc16648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66</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73FB7113">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_Toc12096 </w:instrText>
          </w:r>
          <w:r>
            <w:rPr>
              <w:rFonts w:hint="default" w:ascii="Times New Roman" w:hAnsi="Times New Roman" w:cs="Times New Roman"/>
              <w:color w:val="auto"/>
            </w:rPr>
            <w:fldChar w:fldCharType="separate"/>
          </w:r>
          <w:r>
            <w:rPr>
              <w:rFonts w:hint="default" w:ascii="Times New Roman" w:hAnsi="Times New Roman" w:cs="Times New Roman"/>
              <w:color w:val="auto"/>
              <w:lang w:eastAsia="zh-CN"/>
            </w:rPr>
            <w:t>（一）</w:t>
          </w:r>
          <w:r>
            <w:rPr>
              <w:rFonts w:hint="default" w:ascii="Times New Roman" w:hAnsi="Times New Roman" w:cs="Times New Roman"/>
              <w:color w:val="auto"/>
            </w:rPr>
            <w:t>创新联农带农机制</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_Toc12096 \h </w:instrText>
          </w:r>
          <w:r>
            <w:rPr>
              <w:rFonts w:ascii="Times New Roman" w:hAnsi="Times New Roman"/>
              <w:color w:val="auto"/>
            </w:rPr>
            <w:fldChar w:fldCharType="separate"/>
          </w:r>
          <w:r>
            <w:rPr>
              <w:rFonts w:ascii="Times New Roman" w:hAnsi="Times New Roman"/>
              <w:color w:val="auto"/>
            </w:rPr>
            <w:t>66</w:t>
          </w:r>
          <w:r>
            <w:rPr>
              <w:rFonts w:ascii="Times New Roman" w:hAnsi="Times New Roman"/>
              <w:color w:val="auto"/>
            </w:rPr>
            <w:fldChar w:fldCharType="end"/>
          </w:r>
          <w:r>
            <w:rPr>
              <w:rFonts w:hint="default" w:ascii="Times New Roman" w:hAnsi="Times New Roman" w:cs="Times New Roman"/>
              <w:color w:val="auto"/>
            </w:rPr>
            <w:fldChar w:fldCharType="end"/>
          </w:r>
        </w:p>
        <w:p w14:paraId="774649F1">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_Toc11296 </w:instrText>
          </w:r>
          <w:r>
            <w:rPr>
              <w:rFonts w:hint="default" w:ascii="Times New Roman" w:hAnsi="Times New Roman" w:cs="Times New Roman"/>
              <w:color w:val="auto"/>
            </w:rPr>
            <w:fldChar w:fldCharType="separate"/>
          </w:r>
          <w:r>
            <w:rPr>
              <w:rFonts w:hint="default" w:ascii="Times New Roman" w:hAnsi="Times New Roman" w:cs="Times New Roman"/>
              <w:color w:val="auto"/>
            </w:rPr>
            <w:t>（二）提高农民就业创业质量</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_Toc11296 \h </w:instrText>
          </w:r>
          <w:r>
            <w:rPr>
              <w:rFonts w:ascii="Times New Roman" w:hAnsi="Times New Roman"/>
              <w:color w:val="auto"/>
            </w:rPr>
            <w:fldChar w:fldCharType="separate"/>
          </w:r>
          <w:r>
            <w:rPr>
              <w:rFonts w:ascii="Times New Roman" w:hAnsi="Times New Roman"/>
              <w:color w:val="auto"/>
            </w:rPr>
            <w:t>67</w:t>
          </w:r>
          <w:r>
            <w:rPr>
              <w:rFonts w:ascii="Times New Roman" w:hAnsi="Times New Roman"/>
              <w:color w:val="auto"/>
            </w:rPr>
            <w:fldChar w:fldCharType="end"/>
          </w:r>
          <w:r>
            <w:rPr>
              <w:rFonts w:hint="default" w:ascii="Times New Roman" w:hAnsi="Times New Roman" w:cs="Times New Roman"/>
              <w:color w:val="auto"/>
            </w:rPr>
            <w:fldChar w:fldCharType="end"/>
          </w:r>
        </w:p>
        <w:p w14:paraId="18663611">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hint="eastAsia" w:ascii="Times New Roman" w:hAnsi="Times New Roman" w:eastAsia="楷体_GB2312" w:cs="楷体_GB2312"/>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_Toc407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lang w:val="en-US" w:eastAsia="zh-CN"/>
            </w:rPr>
            <w:t>二、</w:t>
          </w:r>
          <w:r>
            <w:rPr>
              <w:rFonts w:hint="default" w:ascii="Times New Roman" w:hAnsi="Times New Roman" w:eastAsia="楷体_GB2312" w:cs="楷体_GB2312"/>
              <w:color w:val="auto"/>
            </w:rPr>
            <w:t>发展壮大新型农村集体经济</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_Toc407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68</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6DB0A374">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_Toc29920 </w:instrText>
          </w:r>
          <w:r>
            <w:rPr>
              <w:rFonts w:hint="default" w:ascii="Times New Roman" w:hAnsi="Times New Roman" w:cs="Times New Roman"/>
              <w:color w:val="auto"/>
            </w:rPr>
            <w:fldChar w:fldCharType="separate"/>
          </w:r>
          <w:r>
            <w:rPr>
              <w:rFonts w:hint="default" w:ascii="Times New Roman" w:hAnsi="Times New Roman" w:cs="Times New Roman"/>
              <w:color w:val="auto"/>
            </w:rPr>
            <w:t>（一）</w:t>
          </w:r>
          <w:r>
            <w:rPr>
              <w:rFonts w:hint="default" w:ascii="Times New Roman" w:hAnsi="Times New Roman" w:cs="Times New Roman"/>
              <w:color w:val="auto"/>
              <w:lang w:val="en-US" w:eastAsia="zh-CN"/>
            </w:rPr>
            <w:t>强化规范运行</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_Toc29920 \h </w:instrText>
          </w:r>
          <w:r>
            <w:rPr>
              <w:rFonts w:ascii="Times New Roman" w:hAnsi="Times New Roman"/>
              <w:color w:val="auto"/>
            </w:rPr>
            <w:fldChar w:fldCharType="separate"/>
          </w:r>
          <w:r>
            <w:rPr>
              <w:rFonts w:ascii="Times New Roman" w:hAnsi="Times New Roman"/>
              <w:color w:val="auto"/>
            </w:rPr>
            <w:t>68</w:t>
          </w:r>
          <w:r>
            <w:rPr>
              <w:rFonts w:ascii="Times New Roman" w:hAnsi="Times New Roman"/>
              <w:color w:val="auto"/>
            </w:rPr>
            <w:fldChar w:fldCharType="end"/>
          </w:r>
          <w:r>
            <w:rPr>
              <w:rFonts w:hint="default" w:ascii="Times New Roman" w:hAnsi="Times New Roman" w:cs="Times New Roman"/>
              <w:color w:val="auto"/>
            </w:rPr>
            <w:fldChar w:fldCharType="end"/>
          </w:r>
        </w:p>
        <w:p w14:paraId="2AE4F88B">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_Toc30756 </w:instrText>
          </w:r>
          <w:r>
            <w:rPr>
              <w:rFonts w:hint="default" w:ascii="Times New Roman" w:hAnsi="Times New Roman" w:cs="Times New Roman"/>
              <w:color w:val="auto"/>
            </w:rPr>
            <w:fldChar w:fldCharType="separate"/>
          </w:r>
          <w:r>
            <w:rPr>
              <w:rFonts w:hint="default" w:ascii="Times New Roman" w:hAnsi="Times New Roman" w:cs="Times New Roman"/>
              <w:color w:val="auto"/>
            </w:rPr>
            <w:t>（二）强化人才赋能</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_Toc30756 \h </w:instrText>
          </w:r>
          <w:r>
            <w:rPr>
              <w:rFonts w:ascii="Times New Roman" w:hAnsi="Times New Roman"/>
              <w:color w:val="auto"/>
            </w:rPr>
            <w:fldChar w:fldCharType="separate"/>
          </w:r>
          <w:r>
            <w:rPr>
              <w:rFonts w:ascii="Times New Roman" w:hAnsi="Times New Roman"/>
              <w:color w:val="auto"/>
            </w:rPr>
            <w:t>68</w:t>
          </w:r>
          <w:r>
            <w:rPr>
              <w:rFonts w:ascii="Times New Roman" w:hAnsi="Times New Roman"/>
              <w:color w:val="auto"/>
            </w:rPr>
            <w:fldChar w:fldCharType="end"/>
          </w:r>
          <w:r>
            <w:rPr>
              <w:rFonts w:hint="default" w:ascii="Times New Roman" w:hAnsi="Times New Roman" w:cs="Times New Roman"/>
              <w:color w:val="auto"/>
            </w:rPr>
            <w:fldChar w:fldCharType="end"/>
          </w:r>
        </w:p>
        <w:p w14:paraId="40140CF9">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_Toc28268 </w:instrText>
          </w:r>
          <w:r>
            <w:rPr>
              <w:rFonts w:hint="default" w:ascii="Times New Roman" w:hAnsi="Times New Roman" w:cs="Times New Roman"/>
              <w:color w:val="auto"/>
            </w:rPr>
            <w:fldChar w:fldCharType="separate"/>
          </w:r>
          <w:r>
            <w:rPr>
              <w:rFonts w:hint="default" w:ascii="Times New Roman" w:hAnsi="Times New Roman" w:cs="Times New Roman"/>
              <w:color w:val="auto"/>
            </w:rPr>
            <w:t>（三）强化政策保障</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_Toc28268 \h </w:instrText>
          </w:r>
          <w:r>
            <w:rPr>
              <w:rFonts w:ascii="Times New Roman" w:hAnsi="Times New Roman"/>
              <w:color w:val="auto"/>
            </w:rPr>
            <w:fldChar w:fldCharType="separate"/>
          </w:r>
          <w:r>
            <w:rPr>
              <w:rFonts w:ascii="Times New Roman" w:hAnsi="Times New Roman"/>
              <w:color w:val="auto"/>
            </w:rPr>
            <w:t>69</w:t>
          </w:r>
          <w:r>
            <w:rPr>
              <w:rFonts w:ascii="Times New Roman" w:hAnsi="Times New Roman"/>
              <w:color w:val="auto"/>
            </w:rPr>
            <w:fldChar w:fldCharType="end"/>
          </w:r>
          <w:r>
            <w:rPr>
              <w:rFonts w:hint="default" w:ascii="Times New Roman" w:hAnsi="Times New Roman" w:cs="Times New Roman"/>
              <w:color w:val="auto"/>
            </w:rPr>
            <w:fldChar w:fldCharType="end"/>
          </w:r>
        </w:p>
        <w:p w14:paraId="7D41D6E6">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hint="eastAsia" w:ascii="Times New Roman" w:hAnsi="Times New Roman" w:eastAsia="楷体_GB2312" w:cs="楷体_GB2312"/>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_Toc1293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lang w:val="en-US" w:eastAsia="zh-CN"/>
            </w:rPr>
            <w:t>三、巩固提升农村社会保障水平</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_Toc1293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69</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2C695825">
          <w:pPr>
            <w:pStyle w:val="16"/>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_Toc10162 </w:instrText>
          </w:r>
          <w:r>
            <w:rPr>
              <w:rFonts w:hint="default" w:ascii="Times New Roman" w:hAnsi="Times New Roman" w:cs="Times New Roman"/>
              <w:color w:val="auto"/>
            </w:rPr>
            <w:fldChar w:fldCharType="separate"/>
          </w:r>
          <w:r>
            <w:rPr>
              <w:rFonts w:hint="default" w:ascii="Times New Roman" w:hAnsi="Times New Roman" w:eastAsia="黑体" w:cs="Times New Roman"/>
              <w:color w:val="auto"/>
              <w:lang w:eastAsia="zh-CN"/>
            </w:rPr>
            <w:t>第</w:t>
          </w:r>
          <w:r>
            <w:rPr>
              <w:rFonts w:hint="default" w:ascii="Times New Roman" w:hAnsi="Times New Roman" w:eastAsia="黑体" w:cs="Times New Roman"/>
              <w:color w:val="auto"/>
            </w:rPr>
            <w:t xml:space="preserve">五章 统筹新型城镇化 </w:t>
          </w:r>
          <w:r>
            <w:rPr>
              <w:rFonts w:hint="default" w:ascii="Times New Roman" w:hAnsi="Times New Roman" w:eastAsia="黑体" w:cs="Times New Roman"/>
              <w:color w:val="auto"/>
              <w:lang w:eastAsia="zh-CN"/>
            </w:rPr>
            <w:t>加快“城乡</w:t>
          </w:r>
          <w:r>
            <w:rPr>
              <w:rFonts w:hint="default" w:ascii="Times New Roman" w:hAnsi="Times New Roman" w:eastAsia="黑体" w:cs="Times New Roman"/>
              <w:color w:val="auto"/>
            </w:rPr>
            <w:t>融合</w:t>
          </w:r>
          <w:r>
            <w:rPr>
              <w:rFonts w:hint="default" w:ascii="Times New Roman" w:hAnsi="Times New Roman" w:eastAsia="黑体" w:cs="Times New Roman"/>
              <w:color w:val="auto"/>
              <w:lang w:eastAsia="zh-CN"/>
            </w:rPr>
            <w:t>”</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_Toc10162 \h </w:instrText>
          </w:r>
          <w:r>
            <w:rPr>
              <w:rFonts w:ascii="Times New Roman" w:hAnsi="Times New Roman"/>
              <w:color w:val="auto"/>
            </w:rPr>
            <w:fldChar w:fldCharType="separate"/>
          </w:r>
          <w:r>
            <w:rPr>
              <w:rFonts w:ascii="Times New Roman" w:hAnsi="Times New Roman"/>
              <w:color w:val="auto"/>
            </w:rPr>
            <w:t>71</w:t>
          </w:r>
          <w:r>
            <w:rPr>
              <w:rFonts w:ascii="Times New Roman" w:hAnsi="Times New Roman"/>
              <w:color w:val="auto"/>
            </w:rPr>
            <w:fldChar w:fldCharType="end"/>
          </w:r>
          <w:r>
            <w:rPr>
              <w:rFonts w:hint="default" w:ascii="Times New Roman" w:hAnsi="Times New Roman" w:cs="Times New Roman"/>
              <w:color w:val="auto"/>
            </w:rPr>
            <w:fldChar w:fldCharType="end"/>
          </w:r>
        </w:p>
        <w:p w14:paraId="7D82CF29">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hint="eastAsia" w:ascii="Times New Roman" w:hAnsi="Times New Roman" w:eastAsia="楷体_GB2312" w:cs="楷体_GB2312"/>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_Toc21339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rPr>
            <w:t>一、</w:t>
          </w:r>
          <w:r>
            <w:rPr>
              <w:rFonts w:hint="default" w:ascii="Times New Roman" w:hAnsi="Times New Roman" w:eastAsia="楷体_GB2312" w:cs="楷体_GB2312"/>
              <w:color w:val="auto"/>
              <w:lang w:eastAsia="zh-CN"/>
            </w:rPr>
            <w:t>强化</w:t>
          </w:r>
          <w:r>
            <w:rPr>
              <w:rFonts w:hint="default" w:ascii="Times New Roman" w:hAnsi="Times New Roman" w:eastAsia="楷体_GB2312" w:cs="楷体_GB2312"/>
              <w:color w:val="auto"/>
            </w:rPr>
            <w:t>城乡融合发展</w:t>
          </w:r>
          <w:r>
            <w:rPr>
              <w:rFonts w:hint="default" w:ascii="Times New Roman" w:hAnsi="Times New Roman" w:eastAsia="楷体_GB2312" w:cs="楷体_GB2312"/>
              <w:color w:val="auto"/>
              <w:lang w:eastAsia="zh-CN"/>
            </w:rPr>
            <w:t>关键支撑</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_Toc21339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71</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6BBFDF6F">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_Toc8 </w:instrText>
          </w:r>
          <w:r>
            <w:rPr>
              <w:rFonts w:hint="default" w:ascii="Times New Roman" w:hAnsi="Times New Roman" w:cs="Times New Roman"/>
              <w:color w:val="auto"/>
            </w:rPr>
            <w:fldChar w:fldCharType="separate"/>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一</w:t>
          </w:r>
          <w:r>
            <w:rPr>
              <w:rFonts w:hint="default" w:ascii="Times New Roman" w:hAnsi="Times New Roman" w:cs="Times New Roman"/>
              <w:color w:val="auto"/>
              <w:lang w:eastAsia="zh-CN"/>
            </w:rPr>
            <w:t>）</w:t>
          </w:r>
          <w:r>
            <w:rPr>
              <w:rFonts w:hint="default" w:ascii="Times New Roman" w:hAnsi="Times New Roman" w:cs="Times New Roman"/>
              <w:color w:val="auto"/>
            </w:rPr>
            <w:t>优化城乡空间布局</w:t>
          </w:r>
          <w:r>
            <w:rPr>
              <w:rFonts w:hint="default" w:ascii="Times New Roman" w:hAnsi="Times New Roman" w:cs="Times New Roman"/>
              <w:color w:val="auto"/>
              <w:lang w:eastAsia="zh-CN"/>
            </w:rPr>
            <w:t>结构</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_Toc8 \h </w:instrText>
          </w:r>
          <w:r>
            <w:rPr>
              <w:rFonts w:ascii="Times New Roman" w:hAnsi="Times New Roman"/>
              <w:color w:val="auto"/>
            </w:rPr>
            <w:fldChar w:fldCharType="separate"/>
          </w:r>
          <w:r>
            <w:rPr>
              <w:rFonts w:ascii="Times New Roman" w:hAnsi="Times New Roman"/>
              <w:color w:val="auto"/>
            </w:rPr>
            <w:t>71</w:t>
          </w:r>
          <w:r>
            <w:rPr>
              <w:rFonts w:ascii="Times New Roman" w:hAnsi="Times New Roman"/>
              <w:color w:val="auto"/>
            </w:rPr>
            <w:fldChar w:fldCharType="end"/>
          </w:r>
          <w:r>
            <w:rPr>
              <w:rFonts w:hint="default" w:ascii="Times New Roman" w:hAnsi="Times New Roman" w:cs="Times New Roman"/>
              <w:color w:val="auto"/>
            </w:rPr>
            <w:fldChar w:fldCharType="end"/>
          </w:r>
        </w:p>
        <w:p w14:paraId="60B4A241">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_Toc27575 </w:instrText>
          </w:r>
          <w:r>
            <w:rPr>
              <w:rFonts w:hint="default" w:ascii="Times New Roman" w:hAnsi="Times New Roman" w:cs="Times New Roman"/>
              <w:color w:val="auto"/>
            </w:rPr>
            <w:fldChar w:fldCharType="separate"/>
          </w:r>
          <w:r>
            <w:rPr>
              <w:rFonts w:hint="default" w:ascii="Times New Roman" w:hAnsi="Times New Roman" w:cs="Times New Roman"/>
              <w:color w:val="auto"/>
            </w:rPr>
            <w:t>（二）</w:t>
          </w:r>
          <w:r>
            <w:rPr>
              <w:rFonts w:hint="default" w:ascii="Times New Roman" w:hAnsi="Times New Roman" w:cs="Times New Roman"/>
              <w:color w:val="auto"/>
              <w:lang w:eastAsia="zh-CN"/>
            </w:rPr>
            <w:t>发挥区域</w:t>
          </w:r>
          <w:r>
            <w:rPr>
              <w:rFonts w:hint="default" w:ascii="Times New Roman" w:hAnsi="Times New Roman" w:cs="Times New Roman"/>
              <w:color w:val="auto"/>
              <w:lang w:val="en-US" w:eastAsia="zh-CN"/>
            </w:rPr>
            <w:t>城乡</w:t>
          </w:r>
          <w:r>
            <w:rPr>
              <w:rFonts w:hint="default" w:ascii="Times New Roman" w:hAnsi="Times New Roman" w:cs="Times New Roman"/>
              <w:color w:val="auto"/>
              <w:lang w:eastAsia="zh-CN"/>
            </w:rPr>
            <w:t>融合纽带作用</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_Toc27575 \h </w:instrText>
          </w:r>
          <w:r>
            <w:rPr>
              <w:rFonts w:ascii="Times New Roman" w:hAnsi="Times New Roman"/>
              <w:color w:val="auto"/>
            </w:rPr>
            <w:fldChar w:fldCharType="separate"/>
          </w:r>
          <w:r>
            <w:rPr>
              <w:rFonts w:ascii="Times New Roman" w:hAnsi="Times New Roman"/>
              <w:color w:val="auto"/>
            </w:rPr>
            <w:t>73</w:t>
          </w:r>
          <w:r>
            <w:rPr>
              <w:rFonts w:ascii="Times New Roman" w:hAnsi="Times New Roman"/>
              <w:color w:val="auto"/>
            </w:rPr>
            <w:fldChar w:fldCharType="end"/>
          </w:r>
          <w:r>
            <w:rPr>
              <w:rFonts w:hint="default" w:ascii="Times New Roman" w:hAnsi="Times New Roman" w:cs="Times New Roman"/>
              <w:color w:val="auto"/>
            </w:rPr>
            <w:fldChar w:fldCharType="end"/>
          </w:r>
        </w:p>
        <w:p w14:paraId="41EE247E">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_Toc4469 </w:instrText>
          </w:r>
          <w:r>
            <w:rPr>
              <w:rFonts w:hint="default" w:ascii="Times New Roman" w:hAnsi="Times New Roman" w:cs="Times New Roman"/>
              <w:color w:val="auto"/>
            </w:rPr>
            <w:fldChar w:fldCharType="separate"/>
          </w:r>
          <w:r>
            <w:rPr>
              <w:rFonts w:hint="default" w:ascii="Times New Roman" w:hAnsi="Times New Roman" w:cs="Times New Roman"/>
              <w:color w:val="auto"/>
            </w:rPr>
            <w:t>（三）</w:t>
          </w:r>
          <w:r>
            <w:rPr>
              <w:rFonts w:hint="default" w:ascii="Times New Roman" w:hAnsi="Times New Roman" w:cs="Times New Roman"/>
              <w:color w:val="auto"/>
              <w:lang w:eastAsia="zh-CN"/>
            </w:rPr>
            <w:t>培育</w:t>
          </w:r>
          <w:r>
            <w:rPr>
              <w:rFonts w:hint="default" w:ascii="Times New Roman" w:hAnsi="Times New Roman" w:cs="Times New Roman"/>
              <w:color w:val="auto"/>
            </w:rPr>
            <w:t>壮大“区”域富民产业</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_Toc4469 \h </w:instrText>
          </w:r>
          <w:r>
            <w:rPr>
              <w:rFonts w:ascii="Times New Roman" w:hAnsi="Times New Roman"/>
              <w:color w:val="auto"/>
            </w:rPr>
            <w:fldChar w:fldCharType="separate"/>
          </w:r>
          <w:r>
            <w:rPr>
              <w:rFonts w:ascii="Times New Roman" w:hAnsi="Times New Roman"/>
              <w:color w:val="auto"/>
            </w:rPr>
            <w:t>74</w:t>
          </w:r>
          <w:r>
            <w:rPr>
              <w:rFonts w:ascii="Times New Roman" w:hAnsi="Times New Roman"/>
              <w:color w:val="auto"/>
            </w:rPr>
            <w:fldChar w:fldCharType="end"/>
          </w:r>
          <w:r>
            <w:rPr>
              <w:rFonts w:hint="default" w:ascii="Times New Roman" w:hAnsi="Times New Roman" w:cs="Times New Roman"/>
              <w:color w:val="auto"/>
            </w:rPr>
            <w:fldChar w:fldCharType="end"/>
          </w:r>
        </w:p>
        <w:p w14:paraId="3C61B713">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hint="eastAsia" w:ascii="Times New Roman" w:hAnsi="Times New Roman" w:eastAsia="楷体_GB2312" w:cs="楷体_GB2312"/>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_Toc27656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rPr>
            <w:t>二、</w:t>
          </w:r>
          <w:r>
            <w:rPr>
              <w:rFonts w:hint="default" w:ascii="Times New Roman" w:hAnsi="Times New Roman" w:eastAsia="楷体_GB2312" w:cs="楷体_GB2312"/>
              <w:color w:val="auto"/>
              <w:lang w:val="en-US" w:eastAsia="zh-CN"/>
            </w:rPr>
            <w:t>完善乡村基础设施和</w:t>
          </w:r>
          <w:r>
            <w:rPr>
              <w:rFonts w:hint="default" w:ascii="Times New Roman" w:hAnsi="Times New Roman" w:eastAsia="楷体_GB2312" w:cs="楷体_GB2312"/>
              <w:color w:val="auto"/>
              <w:lang w:eastAsia="zh-CN"/>
            </w:rPr>
            <w:t>基本公共服务</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_Toc27656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75</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60C92311">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_Toc9818 </w:instrText>
          </w:r>
          <w:r>
            <w:rPr>
              <w:rFonts w:hint="default" w:ascii="Times New Roman" w:hAnsi="Times New Roman" w:cs="Times New Roman"/>
              <w:color w:val="auto"/>
            </w:rPr>
            <w:fldChar w:fldCharType="separate"/>
          </w:r>
          <w:r>
            <w:rPr>
              <w:rFonts w:hint="default" w:ascii="Times New Roman" w:hAnsi="Times New Roman" w:cs="Times New Roman"/>
              <w:color w:val="auto"/>
            </w:rPr>
            <w:t>（一）</w:t>
          </w:r>
          <w:r>
            <w:rPr>
              <w:rFonts w:hint="default" w:ascii="Times New Roman" w:hAnsi="Times New Roman" w:cs="Times New Roman"/>
              <w:color w:val="auto"/>
              <w:lang w:val="en-US" w:eastAsia="zh-CN"/>
            </w:rPr>
            <w:t>持续建设</w:t>
          </w:r>
          <w:r>
            <w:rPr>
              <w:rFonts w:hint="default" w:ascii="Times New Roman" w:hAnsi="Times New Roman" w:cs="Times New Roman"/>
              <w:color w:val="auto"/>
            </w:rPr>
            <w:t>乡村基础设施</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_Toc9818 \h </w:instrText>
          </w:r>
          <w:r>
            <w:rPr>
              <w:rFonts w:ascii="Times New Roman" w:hAnsi="Times New Roman"/>
              <w:color w:val="auto"/>
            </w:rPr>
            <w:fldChar w:fldCharType="separate"/>
          </w:r>
          <w:r>
            <w:rPr>
              <w:rFonts w:ascii="Times New Roman" w:hAnsi="Times New Roman"/>
              <w:color w:val="auto"/>
            </w:rPr>
            <w:t>75</w:t>
          </w:r>
          <w:r>
            <w:rPr>
              <w:rFonts w:ascii="Times New Roman" w:hAnsi="Times New Roman"/>
              <w:color w:val="auto"/>
            </w:rPr>
            <w:fldChar w:fldCharType="end"/>
          </w:r>
          <w:r>
            <w:rPr>
              <w:rFonts w:hint="default" w:ascii="Times New Roman" w:hAnsi="Times New Roman" w:cs="Times New Roman"/>
              <w:color w:val="auto"/>
            </w:rPr>
            <w:fldChar w:fldCharType="end"/>
          </w:r>
        </w:p>
        <w:p w14:paraId="709FFB4C">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_Toc20726 </w:instrText>
          </w:r>
          <w:r>
            <w:rPr>
              <w:rFonts w:hint="default" w:ascii="Times New Roman" w:hAnsi="Times New Roman" w:cs="Times New Roman"/>
              <w:color w:val="auto"/>
            </w:rPr>
            <w:fldChar w:fldCharType="separate"/>
          </w:r>
          <w:r>
            <w:rPr>
              <w:rFonts w:hint="default" w:ascii="Times New Roman" w:hAnsi="Times New Roman" w:cs="Times New Roman"/>
              <w:color w:val="auto"/>
              <w:highlight w:val="none"/>
            </w:rPr>
            <w:t>（二）</w:t>
          </w:r>
          <w:r>
            <w:rPr>
              <w:rFonts w:hint="default" w:ascii="Times New Roman" w:hAnsi="Times New Roman" w:cs="Times New Roman"/>
              <w:color w:val="auto"/>
              <w:highlight w:val="none"/>
              <w:lang w:eastAsia="zh-CN"/>
            </w:rPr>
            <w:t>提升</w:t>
          </w:r>
          <w:r>
            <w:rPr>
              <w:rFonts w:hint="default" w:ascii="Times New Roman" w:hAnsi="Times New Roman" w:cs="Times New Roman"/>
              <w:color w:val="auto"/>
              <w:highlight w:val="none"/>
            </w:rPr>
            <w:t>基本公共服务</w:t>
          </w:r>
          <w:r>
            <w:rPr>
              <w:rFonts w:hint="default" w:ascii="Times New Roman" w:hAnsi="Times New Roman" w:cs="Times New Roman"/>
              <w:color w:val="auto"/>
              <w:highlight w:val="none"/>
              <w:lang w:eastAsia="zh-CN"/>
            </w:rPr>
            <w:t>水平</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_Toc20726 \h </w:instrText>
          </w:r>
          <w:r>
            <w:rPr>
              <w:rFonts w:ascii="Times New Roman" w:hAnsi="Times New Roman"/>
              <w:color w:val="auto"/>
            </w:rPr>
            <w:fldChar w:fldCharType="separate"/>
          </w:r>
          <w:r>
            <w:rPr>
              <w:rFonts w:ascii="Times New Roman" w:hAnsi="Times New Roman"/>
              <w:color w:val="auto"/>
            </w:rPr>
            <w:t>76</w:t>
          </w:r>
          <w:r>
            <w:rPr>
              <w:rFonts w:ascii="Times New Roman" w:hAnsi="Times New Roman"/>
              <w:color w:val="auto"/>
            </w:rPr>
            <w:fldChar w:fldCharType="end"/>
          </w:r>
          <w:r>
            <w:rPr>
              <w:rFonts w:hint="default" w:ascii="Times New Roman" w:hAnsi="Times New Roman" w:cs="Times New Roman"/>
              <w:color w:val="auto"/>
            </w:rPr>
            <w:fldChar w:fldCharType="end"/>
          </w:r>
        </w:p>
        <w:p w14:paraId="55FAD0B2">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_Toc23902 </w:instrText>
          </w:r>
          <w:r>
            <w:rPr>
              <w:rFonts w:hint="default" w:ascii="Times New Roman" w:hAnsi="Times New Roman" w:cs="Times New Roman"/>
              <w:color w:val="auto"/>
            </w:rPr>
            <w:fldChar w:fldCharType="separate"/>
          </w:r>
          <w:r>
            <w:rPr>
              <w:rFonts w:hint="default" w:ascii="Times New Roman" w:hAnsi="Times New Roman" w:cs="Times New Roman"/>
              <w:color w:val="auto"/>
              <w:highlight w:val="none"/>
              <w:lang w:val="en-US" w:eastAsia="zh-CN"/>
            </w:rPr>
            <w:t>（三）完善农业转移人口社会保障</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_Toc23902 \h </w:instrText>
          </w:r>
          <w:r>
            <w:rPr>
              <w:rFonts w:ascii="Times New Roman" w:hAnsi="Times New Roman"/>
              <w:color w:val="auto"/>
            </w:rPr>
            <w:fldChar w:fldCharType="separate"/>
          </w:r>
          <w:r>
            <w:rPr>
              <w:rFonts w:ascii="Times New Roman" w:hAnsi="Times New Roman"/>
              <w:color w:val="auto"/>
            </w:rPr>
            <w:t>78</w:t>
          </w:r>
          <w:r>
            <w:rPr>
              <w:rFonts w:ascii="Times New Roman" w:hAnsi="Times New Roman"/>
              <w:color w:val="auto"/>
            </w:rPr>
            <w:fldChar w:fldCharType="end"/>
          </w:r>
          <w:r>
            <w:rPr>
              <w:rFonts w:hint="default" w:ascii="Times New Roman" w:hAnsi="Times New Roman" w:cs="Times New Roman"/>
              <w:color w:val="auto"/>
            </w:rPr>
            <w:fldChar w:fldCharType="end"/>
          </w:r>
        </w:p>
        <w:p w14:paraId="2E2A13C2">
          <w:pPr>
            <w:pStyle w:val="12"/>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_Toc2211 </w:instrText>
          </w:r>
          <w:r>
            <w:rPr>
              <w:rFonts w:hint="default" w:ascii="Times New Roman" w:hAnsi="Times New Roman" w:cs="Times New Roman"/>
              <w:color w:val="auto"/>
            </w:rPr>
            <w:fldChar w:fldCharType="separate"/>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四</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推动城乡资源要素双向流动</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_Toc2211 \h </w:instrText>
          </w:r>
          <w:r>
            <w:rPr>
              <w:rFonts w:ascii="Times New Roman" w:hAnsi="Times New Roman"/>
              <w:color w:val="auto"/>
            </w:rPr>
            <w:fldChar w:fldCharType="separate"/>
          </w:r>
          <w:r>
            <w:rPr>
              <w:rFonts w:ascii="Times New Roman" w:hAnsi="Times New Roman"/>
              <w:color w:val="auto"/>
            </w:rPr>
            <w:t>79</w:t>
          </w:r>
          <w:r>
            <w:rPr>
              <w:rFonts w:ascii="Times New Roman" w:hAnsi="Times New Roman"/>
              <w:color w:val="auto"/>
            </w:rPr>
            <w:fldChar w:fldCharType="end"/>
          </w:r>
          <w:r>
            <w:rPr>
              <w:rFonts w:hint="default" w:ascii="Times New Roman" w:hAnsi="Times New Roman" w:cs="Times New Roman"/>
              <w:color w:val="auto"/>
            </w:rPr>
            <w:fldChar w:fldCharType="end"/>
          </w:r>
        </w:p>
        <w:p w14:paraId="4C2AF2EB">
          <w:pPr>
            <w:pStyle w:val="16"/>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_Toc30154 </w:instrText>
          </w:r>
          <w:r>
            <w:rPr>
              <w:rFonts w:hint="default" w:ascii="Times New Roman" w:hAnsi="Times New Roman" w:cs="Times New Roman"/>
              <w:color w:val="auto"/>
            </w:rPr>
            <w:fldChar w:fldCharType="separate"/>
          </w:r>
          <w:r>
            <w:rPr>
              <w:rFonts w:hint="default" w:ascii="Times New Roman" w:hAnsi="Times New Roman" w:eastAsia="黑体" w:cs="Times New Roman"/>
              <w:color w:val="auto"/>
              <w:w w:val="100"/>
            </w:rPr>
            <w:t>第六章</w:t>
          </w:r>
          <w:r>
            <w:rPr>
              <w:rFonts w:hint="default" w:ascii="Times New Roman" w:hAnsi="Times New Roman" w:eastAsia="黑体" w:cs="Times New Roman"/>
              <w:color w:val="auto"/>
              <w:w w:val="100"/>
              <w:lang w:val="en-US" w:eastAsia="zh-CN"/>
            </w:rPr>
            <w:t xml:space="preserve"> 完善政策保障</w:t>
          </w:r>
          <w:r>
            <w:rPr>
              <w:rFonts w:hint="default" w:ascii="Times New Roman" w:hAnsi="Times New Roman" w:eastAsia="黑体" w:cs="Times New Roman"/>
              <w:color w:val="auto"/>
              <w:w w:val="100"/>
            </w:rPr>
            <w:t xml:space="preserve"> </w:t>
          </w:r>
          <w:r>
            <w:rPr>
              <w:rFonts w:hint="default" w:ascii="Times New Roman" w:hAnsi="Times New Roman" w:eastAsia="黑体" w:cs="Times New Roman"/>
              <w:color w:val="auto"/>
              <w:w w:val="100"/>
              <w:lang w:val="en-US" w:eastAsia="zh-CN"/>
            </w:rPr>
            <w:t>推进落地见效</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_Toc30154 \h </w:instrText>
          </w:r>
          <w:r>
            <w:rPr>
              <w:rFonts w:ascii="Times New Roman" w:hAnsi="Times New Roman"/>
              <w:color w:val="auto"/>
            </w:rPr>
            <w:fldChar w:fldCharType="separate"/>
          </w:r>
          <w:r>
            <w:rPr>
              <w:rFonts w:ascii="Times New Roman" w:hAnsi="Times New Roman"/>
              <w:color w:val="auto"/>
            </w:rPr>
            <w:t>80</w:t>
          </w:r>
          <w:r>
            <w:rPr>
              <w:rFonts w:ascii="Times New Roman" w:hAnsi="Times New Roman"/>
              <w:color w:val="auto"/>
            </w:rPr>
            <w:fldChar w:fldCharType="end"/>
          </w:r>
          <w:r>
            <w:rPr>
              <w:rFonts w:hint="default" w:ascii="Times New Roman" w:hAnsi="Times New Roman" w:cs="Times New Roman"/>
              <w:color w:val="auto"/>
            </w:rPr>
            <w:fldChar w:fldCharType="end"/>
          </w:r>
        </w:p>
        <w:p w14:paraId="483CFF9F">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hint="eastAsia" w:ascii="Times New Roman" w:hAnsi="Times New Roman" w:eastAsia="楷体_GB2312" w:cs="楷体_GB2312"/>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_Toc29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rPr>
            <w:t>一、加强组织领导</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_Toc29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80</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2240A0E8">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hint="eastAsia" w:ascii="Times New Roman" w:hAnsi="Times New Roman" w:eastAsia="楷体_GB2312" w:cs="楷体_GB2312"/>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_Toc20411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rPr>
            <w:t>二、</w:t>
          </w:r>
          <w:r>
            <w:rPr>
              <w:rFonts w:hint="default" w:ascii="Times New Roman" w:hAnsi="Times New Roman" w:eastAsia="楷体_GB2312" w:cs="楷体_GB2312"/>
              <w:color w:val="auto"/>
              <w:lang w:val="en-US" w:eastAsia="zh-CN"/>
            </w:rPr>
            <w:t>优化要素配置</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_Toc20411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80</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76B47848">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hint="eastAsia" w:ascii="Times New Roman" w:hAnsi="Times New Roman" w:eastAsia="楷体_GB2312" w:cs="楷体_GB2312"/>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_Toc10573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lang w:val="en-US" w:eastAsia="zh-CN"/>
            </w:rPr>
            <w:t>三、健全融资机制</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_Toc10573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81</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64697D29">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hint="eastAsia" w:ascii="Times New Roman" w:hAnsi="Times New Roman" w:eastAsia="楷体_GB2312" w:cs="楷体_GB2312"/>
              <w:color w:val="auto"/>
            </w:rPr>
          </w:pPr>
          <w:r>
            <w:rPr>
              <w:rFonts w:hint="default" w:ascii="Times New Roman" w:hAnsi="Times New Roman" w:eastAsia="楷体_GB2312" w:cs="楷体_GB2312"/>
              <w:color w:val="auto"/>
            </w:rPr>
            <w:fldChar w:fldCharType="begin"/>
          </w:r>
          <w:r>
            <w:rPr>
              <w:rFonts w:hint="default" w:ascii="Times New Roman" w:hAnsi="Times New Roman" w:eastAsia="楷体_GB2312" w:cs="楷体_GB2312"/>
              <w:color w:val="auto"/>
            </w:rPr>
            <w:instrText xml:space="preserve"> HYPERLINK \l _Toc18121 </w:instrText>
          </w:r>
          <w:r>
            <w:rPr>
              <w:rFonts w:hint="default" w:ascii="Times New Roman" w:hAnsi="Times New Roman" w:eastAsia="楷体_GB2312" w:cs="楷体_GB2312"/>
              <w:color w:val="auto"/>
            </w:rPr>
            <w:fldChar w:fldCharType="separate"/>
          </w:r>
          <w:r>
            <w:rPr>
              <w:rFonts w:hint="default" w:ascii="Times New Roman" w:hAnsi="Times New Roman" w:eastAsia="楷体_GB2312" w:cs="楷体_GB2312"/>
              <w:color w:val="auto"/>
              <w:lang w:val="en-US" w:eastAsia="zh-CN"/>
            </w:rPr>
            <w:t>四、筑牢安全防线</w:t>
          </w:r>
          <w:r>
            <w:rPr>
              <w:rFonts w:hint="eastAsia" w:ascii="Times New Roman" w:hAnsi="Times New Roman" w:eastAsia="楷体_GB2312" w:cs="楷体_GB2312"/>
              <w:color w:val="auto"/>
            </w:rPr>
            <w:tab/>
          </w:r>
          <w:r>
            <w:rPr>
              <w:rFonts w:hint="eastAsia" w:ascii="Times New Roman" w:hAnsi="Times New Roman" w:eastAsia="楷体_GB2312" w:cs="楷体_GB2312"/>
              <w:color w:val="auto"/>
            </w:rPr>
            <w:fldChar w:fldCharType="begin"/>
          </w:r>
          <w:r>
            <w:rPr>
              <w:rFonts w:hint="eastAsia" w:ascii="Times New Roman" w:hAnsi="Times New Roman" w:eastAsia="楷体_GB2312" w:cs="楷体_GB2312"/>
              <w:color w:val="auto"/>
            </w:rPr>
            <w:instrText xml:space="preserve"> PAGEREF _Toc18121 \h </w:instrText>
          </w:r>
          <w:r>
            <w:rPr>
              <w:rFonts w:hint="eastAsia" w:ascii="Times New Roman" w:hAnsi="Times New Roman" w:eastAsia="楷体_GB2312" w:cs="楷体_GB2312"/>
              <w:color w:val="auto"/>
            </w:rPr>
            <w:fldChar w:fldCharType="separate"/>
          </w:r>
          <w:r>
            <w:rPr>
              <w:rFonts w:hint="eastAsia" w:ascii="Times New Roman" w:hAnsi="Times New Roman" w:eastAsia="楷体_GB2312" w:cs="楷体_GB2312"/>
              <w:color w:val="auto"/>
            </w:rPr>
            <w:t>82</w:t>
          </w:r>
          <w:r>
            <w:rPr>
              <w:rFonts w:hint="eastAsia" w:ascii="Times New Roman" w:hAnsi="Times New Roman" w:eastAsia="楷体_GB2312" w:cs="楷体_GB2312"/>
              <w:color w:val="auto"/>
            </w:rPr>
            <w:fldChar w:fldCharType="end"/>
          </w:r>
          <w:r>
            <w:rPr>
              <w:rFonts w:hint="default" w:ascii="Times New Roman" w:hAnsi="Times New Roman" w:eastAsia="楷体_GB2312" w:cs="楷体_GB2312"/>
              <w:color w:val="auto"/>
            </w:rPr>
            <w:fldChar w:fldCharType="end"/>
          </w:r>
        </w:p>
        <w:p w14:paraId="79C6B0A1">
          <w:pPr>
            <w:pStyle w:val="20"/>
            <w:keepNext w:val="0"/>
            <w:keepLines w:val="0"/>
            <w:pageBreakBefore w:val="0"/>
            <w:widowControl w:val="0"/>
            <w:tabs>
              <w:tab w:val="right" w:leader="dot" w:pos="8845"/>
            </w:tabs>
            <w:kinsoku/>
            <w:wordWrap/>
            <w:overflowPunct/>
            <w:topLinePunct w:val="0"/>
            <w:autoSpaceDE/>
            <w:autoSpaceDN/>
            <w:bidi w:val="0"/>
            <w:adjustRightInd/>
            <w:snapToGrid/>
            <w:ind w:firstLine="0" w:firstLineChars="0"/>
            <w:textAlignment w:val="auto"/>
            <w:rPr>
              <w:rFonts w:ascii="Times New Roman" w:hAnsi="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_Toc9582 </w:instrText>
          </w:r>
          <w:r>
            <w:rPr>
              <w:rFonts w:hint="default" w:ascii="Times New Roman" w:hAnsi="Times New Roman" w:cs="Times New Roman"/>
              <w:color w:val="auto"/>
            </w:rPr>
            <w:fldChar w:fldCharType="separate"/>
          </w:r>
          <w:r>
            <w:rPr>
              <w:rFonts w:hint="default" w:ascii="Times New Roman" w:hAnsi="Times New Roman" w:cs="Times New Roman"/>
              <w:color w:val="auto"/>
            </w:rPr>
            <w:t>附件：重点工程</w:t>
          </w:r>
          <w:r>
            <w:rPr>
              <w:rFonts w:hint="default" w:ascii="Times New Roman" w:hAnsi="Times New Roman" w:cs="Times New Roman"/>
              <w:color w:val="auto"/>
              <w:lang w:val="en-US" w:eastAsia="zh-CN"/>
            </w:rPr>
            <w:t>储备</w:t>
          </w:r>
          <w:r>
            <w:rPr>
              <w:rFonts w:hint="default" w:ascii="Times New Roman" w:hAnsi="Times New Roman" w:cs="Times New Roman"/>
              <w:color w:val="auto"/>
            </w:rPr>
            <w:t>项目</w:t>
          </w:r>
          <w:r>
            <w:rPr>
              <w:rFonts w:ascii="Times New Roman" w:hAnsi="Times New Roman"/>
              <w:color w:val="auto"/>
            </w:rPr>
            <w:tab/>
          </w:r>
          <w:r>
            <w:rPr>
              <w:rFonts w:ascii="Times New Roman" w:hAnsi="Times New Roman"/>
              <w:color w:val="auto"/>
            </w:rPr>
            <w:fldChar w:fldCharType="begin"/>
          </w:r>
          <w:r>
            <w:rPr>
              <w:rFonts w:ascii="Times New Roman" w:hAnsi="Times New Roman"/>
              <w:color w:val="auto"/>
            </w:rPr>
            <w:instrText xml:space="preserve"> PAGEREF _Toc9582 \h </w:instrText>
          </w:r>
          <w:r>
            <w:rPr>
              <w:rFonts w:ascii="Times New Roman" w:hAnsi="Times New Roman"/>
              <w:color w:val="auto"/>
            </w:rPr>
            <w:fldChar w:fldCharType="separate"/>
          </w:r>
          <w:r>
            <w:rPr>
              <w:rFonts w:ascii="Times New Roman" w:hAnsi="Times New Roman"/>
              <w:color w:val="auto"/>
            </w:rPr>
            <w:t>84</w:t>
          </w:r>
          <w:r>
            <w:rPr>
              <w:rFonts w:ascii="Times New Roman" w:hAnsi="Times New Roman"/>
              <w:color w:val="auto"/>
            </w:rPr>
            <w:fldChar w:fldCharType="end"/>
          </w:r>
          <w:r>
            <w:rPr>
              <w:rFonts w:hint="default" w:ascii="Times New Roman" w:hAnsi="Times New Roman" w:cs="Times New Roman"/>
              <w:color w:val="auto"/>
            </w:rPr>
            <w:fldChar w:fldCharType="end"/>
          </w:r>
        </w:p>
        <w:p w14:paraId="17E84C1A">
          <w:pPr>
            <w:pageBreakBefore w:val="0"/>
            <w:wordWrap/>
            <w:overflowPunct/>
            <w:topLinePunct w:val="0"/>
            <w:bidi w:val="0"/>
            <w:ind w:left="0" w:leftChars="0"/>
            <w:rPr>
              <w:rFonts w:hint="default" w:ascii="Times New Roman" w:hAnsi="Times New Roman" w:eastAsia="宋体" w:cs="Times New Roman"/>
              <w:color w:val="auto"/>
              <w:shd w:val="clear" w:color="auto" w:fill="FFFFFF"/>
            </w:rPr>
            <w:sectPr>
              <w:footerReference r:id="rId5" w:type="default"/>
              <w:pgSz w:w="11906" w:h="16838"/>
              <w:pgMar w:top="1440" w:right="1474" w:bottom="1440" w:left="1587" w:header="510" w:footer="1474" w:gutter="0"/>
              <w:pgNumType w:fmt="upperRoman" w:start="1"/>
              <w:cols w:space="0" w:num="1"/>
              <w:rtlGutter w:val="0"/>
              <w:docGrid w:type="lines" w:linePitch="326" w:charSpace="0"/>
            </w:sectPr>
          </w:pPr>
          <w:r>
            <w:rPr>
              <w:rFonts w:hint="default" w:ascii="Times New Roman" w:hAnsi="Times New Roman" w:cs="Times New Roman"/>
              <w:color w:val="auto"/>
            </w:rPr>
            <w:fldChar w:fldCharType="end"/>
          </w:r>
        </w:p>
      </w:sdtContent>
    </w:sdt>
    <w:p w14:paraId="6E735C4E">
      <w:pPr>
        <w:pStyle w:val="2"/>
        <w:pageBreakBefore w:val="0"/>
        <w:wordWrap/>
        <w:overflowPunct/>
        <w:topLinePunct w:val="0"/>
        <w:bidi w:val="0"/>
        <w:spacing w:before="0" w:beforeLines="0" w:after="0" w:afterLines="0"/>
        <w:ind w:left="0" w:leftChars="0"/>
        <w:rPr>
          <w:rFonts w:hint="default" w:ascii="Times New Roman" w:hAnsi="Times New Roman" w:eastAsia="黑体" w:cs="Times New Roman"/>
          <w:color w:val="auto"/>
        </w:rPr>
      </w:pPr>
      <w:bookmarkStart w:id="0" w:name="_Toc13437"/>
      <w:bookmarkStart w:id="1" w:name="_Toc771020629"/>
      <w:r>
        <w:rPr>
          <w:rFonts w:hint="default" w:ascii="Times New Roman" w:hAnsi="Times New Roman" w:eastAsia="黑体" w:cs="Times New Roman"/>
          <w:color w:val="auto"/>
        </w:rPr>
        <w:t>第一章 规划依据和总体要求</w:t>
      </w:r>
      <w:bookmarkEnd w:id="0"/>
      <w:bookmarkEnd w:id="1"/>
    </w:p>
    <w:p w14:paraId="255FAE1A">
      <w:pPr>
        <w:pageBreakBefore w:val="0"/>
        <w:wordWrap/>
        <w:overflowPunct/>
        <w:topLinePunct w:val="0"/>
        <w:bidi w:val="0"/>
        <w:ind w:left="0" w:leftChars="0"/>
        <w:rPr>
          <w:rFonts w:hint="default" w:ascii="Times New Roman" w:hAnsi="Times New Roman" w:cs="Times New Roman"/>
          <w:color w:val="auto"/>
          <w:lang w:eastAsia="zh-CN"/>
        </w:rPr>
      </w:pPr>
      <w:r>
        <w:rPr>
          <w:rFonts w:hint="default" w:ascii="Times New Roman" w:hAnsi="Times New Roman" w:cs="Times New Roman"/>
          <w:color w:val="auto"/>
          <w:lang w:eastAsia="zh-CN"/>
        </w:rPr>
        <w:t>“郡县治，天下安”。县域是我国经济社会发展的重要基础单元，在国家全局中扮演着关键角色。当前，国际环境复杂严峻，不确定和难预料因素增多，越是在这种情况下，越要牢牢守住“三农”基本盘，发挥其“压舱石”的稳定作用。实施乡村振兴战略，是以习近平同志为核心的党中央作出的重大决策部署，是新时代做好“三农”工作的总抓手。全面推进乡村振兴，既能有效应对国内外各类风险挑战，也为加快农业农村现代化、建设农业强国提供了坚实支撑，是推动中国式现代化持续向前的重要动力。</w:t>
      </w:r>
    </w:p>
    <w:p w14:paraId="0C4091FB">
      <w:pPr>
        <w:pageBreakBefore w:val="0"/>
        <w:wordWrap/>
        <w:overflowPunct/>
        <w:topLinePunct w:val="0"/>
        <w:bidi w:val="0"/>
        <w:ind w:left="0" w:leftChars="0"/>
        <w:rPr>
          <w:rFonts w:hint="default" w:ascii="Times New Roman" w:hAnsi="Times New Roman" w:cs="Times New Roman"/>
          <w:color w:val="auto"/>
          <w:lang w:eastAsia="zh-CN"/>
        </w:rPr>
      </w:pPr>
      <w:r>
        <w:rPr>
          <w:rFonts w:hint="default" w:ascii="Times New Roman" w:hAnsi="Times New Roman" w:cs="Times New Roman"/>
          <w:color w:val="auto"/>
          <w:lang w:eastAsia="zh-CN"/>
        </w:rPr>
        <w:t>“十五五”时期是我国全面建设社会主义现代化国家夯实基础、聚力攻坚的关键阶段，承前启后</w:t>
      </w:r>
      <w:r>
        <w:rPr>
          <w:rFonts w:hint="default" w:ascii="Times New Roman" w:hAnsi="Times New Roman" w:cs="Times New Roman"/>
          <w:color w:val="auto"/>
          <w:lang w:val="en-US" w:eastAsia="zh-CN"/>
        </w:rPr>
        <w:t>的</w:t>
      </w:r>
      <w:r>
        <w:rPr>
          <w:rFonts w:hint="default" w:ascii="Times New Roman" w:hAnsi="Times New Roman" w:cs="Times New Roman"/>
          <w:color w:val="auto"/>
          <w:lang w:eastAsia="zh-CN"/>
        </w:rPr>
        <w:t>意义重大</w:t>
      </w:r>
      <w:r>
        <w:rPr>
          <w:rFonts w:hint="eastAsia" w:ascii="Times New Roman" w:hAnsi="Times New Roman" w:cs="Times New Roman"/>
          <w:color w:val="auto"/>
          <w:lang w:eastAsia="zh-CN"/>
        </w:rPr>
        <w:t>，而</w:t>
      </w:r>
      <w:r>
        <w:rPr>
          <w:rFonts w:hint="default" w:ascii="Times New Roman" w:hAnsi="Times New Roman" w:cs="Times New Roman"/>
          <w:color w:val="auto"/>
          <w:lang w:eastAsia="zh-CN"/>
        </w:rPr>
        <w:t>农业农村现代化直接关系中国式现代化的</w:t>
      </w:r>
      <w:r>
        <w:rPr>
          <w:rFonts w:hint="eastAsia" w:ascii="Times New Roman" w:hAnsi="Times New Roman" w:cs="Times New Roman"/>
          <w:color w:val="auto"/>
          <w:lang w:val="en-US" w:eastAsia="zh-CN"/>
        </w:rPr>
        <w:t>全局</w:t>
      </w:r>
      <w:r>
        <w:rPr>
          <w:rFonts w:hint="default" w:ascii="Times New Roman" w:hAnsi="Times New Roman" w:cs="Times New Roman"/>
          <w:color w:val="auto"/>
          <w:lang w:eastAsia="zh-CN"/>
        </w:rPr>
        <w:t>与成色。海门区作为南通市的重要板块，乡村振兴一直走在全市前列。在这关键时期，海门区更应在加快推进农业农村现代化，扎实推动乡村全面振兴上做示范、走在前。</w:t>
      </w:r>
    </w:p>
    <w:p w14:paraId="36B0C9A6">
      <w:pPr>
        <w:pageBreakBefore w:val="0"/>
        <w:wordWrap/>
        <w:overflowPunct/>
        <w:topLinePunct w:val="0"/>
        <w:bidi w:val="0"/>
        <w:ind w:left="0" w:leftChars="0"/>
        <w:rPr>
          <w:rFonts w:hint="default" w:ascii="Times New Roman" w:hAnsi="Times New Roman" w:cs="Times New Roman"/>
          <w:color w:val="auto"/>
          <w:lang w:eastAsia="zh-CN"/>
        </w:rPr>
      </w:pPr>
      <w:r>
        <w:rPr>
          <w:rFonts w:hint="default" w:ascii="Times New Roman" w:hAnsi="Times New Roman" w:cs="Times New Roman"/>
          <w:color w:val="auto"/>
          <w:lang w:eastAsia="zh-CN"/>
        </w:rPr>
        <w:t>为深入贯彻落实党的二十大和二十届历次全会精神，根据</w:t>
      </w:r>
      <w:r>
        <w:rPr>
          <w:rFonts w:hint="eastAsia" w:ascii="Times New Roman" w:hAnsi="Times New Roman" w:cs="Times New Roman"/>
          <w:color w:val="auto"/>
          <w:lang w:eastAsia="zh-CN"/>
        </w:rPr>
        <w:t>《</w:t>
      </w:r>
      <w:r>
        <w:rPr>
          <w:rFonts w:hint="default" w:ascii="Times New Roman" w:hAnsi="Times New Roman" w:cs="Times New Roman"/>
          <w:color w:val="auto"/>
          <w:lang w:eastAsia="zh-CN"/>
        </w:rPr>
        <w:t>江苏省国民经济和社会发展第十五个五年规划纲要</w:t>
      </w:r>
      <w:r>
        <w:rPr>
          <w:rFonts w:hint="eastAsia" w:ascii="Times New Roman" w:hAnsi="Times New Roman" w:cs="Times New Roman"/>
          <w:color w:val="auto"/>
          <w:lang w:eastAsia="zh-CN"/>
        </w:rPr>
        <w:t>》</w:t>
      </w:r>
      <w:r>
        <w:rPr>
          <w:rFonts w:hint="default" w:ascii="Times New Roman" w:hAnsi="Times New Roman" w:cs="Times New Roman"/>
          <w:color w:val="auto"/>
          <w:lang w:eastAsia="zh-CN"/>
        </w:rPr>
        <w:t>精神，特编制本规划，旨在明确海门区“十五五”时期农业农村发展的目标任务与重点工程，全面推进乡村全面振兴，加快农业农村现代化步伐，全力建设农业强区。</w:t>
      </w:r>
    </w:p>
    <w:p w14:paraId="2D079170">
      <w:pPr>
        <w:pageBreakBefore w:val="0"/>
        <w:wordWrap/>
        <w:overflowPunct/>
        <w:topLinePunct w:val="0"/>
        <w:bidi w:val="0"/>
        <w:ind w:left="0" w:leftChars="0"/>
        <w:rPr>
          <w:rFonts w:hint="default" w:ascii="Times New Roman" w:hAnsi="Times New Roman" w:eastAsia="仿宋_GB2312" w:cs="Times New Roman"/>
          <w:color w:val="auto"/>
          <w:lang w:eastAsia="zh-CN"/>
        </w:rPr>
        <w:sectPr>
          <w:footerReference r:id="rId6" w:type="default"/>
          <w:footnotePr>
            <w:numFmt w:val="decimalEnclosedCircleChinese"/>
          </w:footnotePr>
          <w:pgSz w:w="11906" w:h="16839"/>
          <w:pgMar w:top="2098" w:right="1474" w:bottom="1984" w:left="1587" w:header="0" w:footer="1463" w:gutter="0"/>
          <w:pgNumType w:fmt="decimal" w:start="1"/>
          <w:cols w:space="720" w:num="1"/>
        </w:sectPr>
      </w:pPr>
      <w:r>
        <w:rPr>
          <w:rFonts w:hint="default" w:ascii="Times New Roman" w:hAnsi="Times New Roman" w:cs="Times New Roman"/>
          <w:color w:val="auto"/>
        </w:rPr>
        <w:t>规划基年为202</w:t>
      </w:r>
      <w:r>
        <w:rPr>
          <w:rFonts w:hint="default" w:ascii="Times New Roman" w:hAnsi="Times New Roman" w:cs="Times New Roman"/>
          <w:color w:val="auto"/>
          <w:lang w:val="en-US" w:eastAsia="zh-CN"/>
        </w:rPr>
        <w:t>5</w:t>
      </w:r>
      <w:r>
        <w:rPr>
          <w:rFonts w:hint="default" w:ascii="Times New Roman" w:hAnsi="Times New Roman" w:cs="Times New Roman"/>
          <w:color w:val="auto"/>
        </w:rPr>
        <w:t>年，期限2026</w:t>
      </w:r>
      <w:r>
        <w:rPr>
          <w:rFonts w:hint="default" w:ascii="Times New Roman" w:hAnsi="Times New Roman" w:cs="Times New Roman"/>
          <w:color w:val="auto"/>
          <w:lang w:eastAsia="zh-CN"/>
        </w:rPr>
        <w:t>—</w:t>
      </w:r>
      <w:r>
        <w:rPr>
          <w:rFonts w:hint="default" w:ascii="Times New Roman" w:hAnsi="Times New Roman" w:cs="Times New Roman"/>
          <w:color w:val="auto"/>
        </w:rPr>
        <w:t>2030年</w:t>
      </w:r>
      <w:r>
        <w:rPr>
          <w:rFonts w:hint="default" w:ascii="Times New Roman" w:hAnsi="Times New Roman" w:cs="Times New Roman"/>
          <w:color w:val="auto"/>
          <w:lang w:eastAsia="zh-CN"/>
        </w:rPr>
        <w:t>。</w:t>
      </w:r>
    </w:p>
    <w:p w14:paraId="0FC86485">
      <w:pPr>
        <w:pStyle w:val="3"/>
        <w:pageBreakBefore w:val="0"/>
        <w:wordWrap/>
        <w:overflowPunct/>
        <w:topLinePunct w:val="0"/>
        <w:bidi w:val="0"/>
        <w:ind w:left="0" w:leftChars="0" w:firstLine="640" w:firstLineChars="200"/>
        <w:rPr>
          <w:rFonts w:hint="default" w:ascii="Times New Roman" w:hAnsi="Times New Roman" w:cs="Times New Roman"/>
          <w:color w:val="auto"/>
        </w:rPr>
      </w:pPr>
      <w:bookmarkStart w:id="2" w:name="_Toc444"/>
      <w:bookmarkStart w:id="3" w:name="_Toc627385605"/>
      <w:r>
        <w:rPr>
          <w:rFonts w:hint="default" w:ascii="Times New Roman" w:hAnsi="Times New Roman" w:cs="Times New Roman"/>
          <w:color w:val="auto"/>
        </w:rPr>
        <w:t>一、规划依据</w:t>
      </w:r>
      <w:bookmarkEnd w:id="2"/>
      <w:bookmarkEnd w:id="3"/>
    </w:p>
    <w:p w14:paraId="36D0FF7B">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十四五”以来，海门区坚持把保障粮食和重要农产品稳定安全供给作为首要任务，持续强化科技装备支撑，积极推动农业全产业链发展；深入学习运用“千村示范、万村整治”工程（“千万工程”）经验，全面实施乡村振兴战略，农业农村现代化雏形初步显现，农民收入水平稳步提升，城乡融合发展体制机制不断完善，各项规划指标任务均圆满完成，为“十五五”时期高质量发展奠定了坚实基础。</w:t>
      </w:r>
    </w:p>
    <w:p w14:paraId="0ED2FECC">
      <w:pPr>
        <w:pStyle w:val="4"/>
        <w:pageBreakBefore w:val="0"/>
        <w:wordWrap/>
        <w:overflowPunct/>
        <w:topLinePunct w:val="0"/>
        <w:bidi w:val="0"/>
        <w:ind w:left="0" w:leftChars="0"/>
        <w:rPr>
          <w:rFonts w:hint="default" w:ascii="Times New Roman" w:hAnsi="Times New Roman" w:cs="Times New Roman"/>
          <w:color w:val="auto"/>
          <w:highlight w:val="none"/>
        </w:rPr>
      </w:pPr>
      <w:bookmarkStart w:id="4" w:name="_Toc14380"/>
      <w:bookmarkStart w:id="5" w:name="_Toc325156465"/>
      <w:r>
        <w:rPr>
          <w:rFonts w:hint="default" w:ascii="Times New Roman" w:hAnsi="Times New Roman" w:cs="Times New Roman"/>
          <w:color w:val="auto"/>
        </w:rPr>
        <w:t>（一）发展基础</w:t>
      </w:r>
      <w:bookmarkEnd w:id="4"/>
      <w:bookmarkEnd w:id="5"/>
    </w:p>
    <w:p w14:paraId="6D1495F1">
      <w:pPr>
        <w:pageBreakBefore w:val="0"/>
        <w:wordWrap/>
        <w:overflowPunct/>
        <w:topLinePunct w:val="0"/>
        <w:bidi w:val="0"/>
        <w:ind w:left="0" w:leftChars="0"/>
        <w:rPr>
          <w:rFonts w:hint="default" w:ascii="Times New Roman" w:hAnsi="Times New Roman" w:cs="Times New Roman"/>
          <w:color w:val="auto"/>
          <w:highlight w:val="none"/>
          <w:lang w:eastAsia="zh-CN"/>
        </w:rPr>
      </w:pPr>
      <w:r>
        <w:rPr>
          <w:rFonts w:hint="default" w:ascii="Times New Roman" w:hAnsi="Times New Roman" w:cs="Times New Roman"/>
          <w:b/>
          <w:bCs/>
          <w:color w:val="auto"/>
        </w:rPr>
        <w:t>综合产能</w:t>
      </w:r>
      <w:r>
        <w:rPr>
          <w:rFonts w:hint="default" w:ascii="Times New Roman" w:hAnsi="Times New Roman" w:cs="Times New Roman"/>
          <w:b/>
          <w:bCs/>
          <w:color w:val="auto"/>
          <w:lang w:eastAsia="zh-CN"/>
        </w:rPr>
        <w:t>稳步</w:t>
      </w:r>
      <w:r>
        <w:rPr>
          <w:rFonts w:hint="default" w:ascii="Times New Roman" w:hAnsi="Times New Roman" w:cs="Times New Roman"/>
          <w:b/>
          <w:bCs/>
          <w:color w:val="auto"/>
        </w:rPr>
        <w:t>提升，供给保障有力有效</w:t>
      </w:r>
      <w:r>
        <w:rPr>
          <w:rFonts w:hint="default" w:ascii="Times New Roman" w:hAnsi="Times New Roman" w:cs="Times New Roman"/>
          <w:b/>
          <w:bCs/>
          <w:color w:val="auto"/>
          <w:lang w:eastAsia="zh-CN"/>
        </w:rPr>
        <w:t>。</w:t>
      </w:r>
      <w:r>
        <w:rPr>
          <w:rFonts w:hint="default" w:ascii="Times New Roman" w:hAnsi="Times New Roman" w:cs="Times New Roman"/>
          <w:color w:val="auto"/>
        </w:rPr>
        <w:t>“十四五”期间</w:t>
      </w:r>
      <w:r>
        <w:rPr>
          <w:rFonts w:hint="default" w:ascii="Times New Roman" w:hAnsi="Times New Roman" w:cs="Times New Roman"/>
          <w:color w:val="auto"/>
          <w:lang w:val="en-US" w:eastAsia="zh-CN"/>
        </w:rPr>
        <w:t>，海门区委、区政府</w:t>
      </w:r>
      <w:r>
        <w:rPr>
          <w:rFonts w:hint="default" w:ascii="Times New Roman" w:hAnsi="Times New Roman" w:cs="Times New Roman"/>
          <w:color w:val="auto"/>
          <w:highlight w:val="none"/>
        </w:rPr>
        <w:t>始终将粮食和重要农产品稳产保供作为首要任务，</w:t>
      </w:r>
      <w:r>
        <w:rPr>
          <w:rFonts w:hint="default" w:ascii="Times New Roman" w:hAnsi="Times New Roman" w:cs="Times New Roman"/>
          <w:color w:val="auto"/>
          <w:highlight w:val="none"/>
          <w:lang w:eastAsia="zh-CN"/>
        </w:rPr>
        <w:t>以粮油周年高产竞赛为抓手，</w:t>
      </w:r>
      <w:r>
        <w:rPr>
          <w:rFonts w:hint="default" w:ascii="Times New Roman" w:hAnsi="Times New Roman" w:cs="Times New Roman"/>
          <w:color w:val="auto"/>
          <w:highlight w:val="none"/>
        </w:rPr>
        <w:t>深入实施粮油作物大面积单产提升行动，扎实推进“菜篮子”工程，粮油综合产能稳步</w:t>
      </w:r>
      <w:r>
        <w:rPr>
          <w:rFonts w:hint="default" w:ascii="Times New Roman" w:hAnsi="Times New Roman" w:cs="Times New Roman"/>
          <w:color w:val="auto"/>
          <w:highlight w:val="none"/>
          <w:lang w:eastAsia="zh-CN"/>
        </w:rPr>
        <w:t>提升，实现重要农产品有效供给</w:t>
      </w:r>
      <w:r>
        <w:rPr>
          <w:rFonts w:hint="default" w:ascii="Times New Roman" w:hAnsi="Times New Roman" w:cs="Times New Roman"/>
          <w:color w:val="auto"/>
          <w:highlight w:val="none"/>
        </w:rPr>
        <w:t>。2023年成功入选“全国现代设施农业创新引领区”。</w:t>
      </w:r>
      <w:r>
        <w:rPr>
          <w:rFonts w:hint="default" w:ascii="Times New Roman" w:hAnsi="Times New Roman" w:cs="Times New Roman"/>
          <w:color w:val="auto"/>
          <w:lang w:val="en-US" w:eastAsia="zh-CN"/>
        </w:rPr>
        <w:t>2024年粮</w:t>
      </w:r>
      <w:r>
        <w:rPr>
          <w:rFonts w:hint="default" w:ascii="Times New Roman" w:hAnsi="Times New Roman" w:cs="Times New Roman"/>
          <w:color w:val="auto"/>
          <w:highlight w:val="none"/>
        </w:rPr>
        <w:t>食与油料生产工作获江苏省农业农村厅通报表扬，并荣获南通市“科学种田”流动奖杯。202</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年</w:t>
      </w:r>
      <w:r>
        <w:rPr>
          <w:rFonts w:hint="default" w:ascii="Times New Roman" w:hAnsi="Times New Roman" w:cs="Times New Roman"/>
          <w:color w:val="auto"/>
          <w:highlight w:val="none"/>
          <w:lang w:eastAsia="zh-CN"/>
        </w:rPr>
        <w:t>全区</w:t>
      </w:r>
      <w:r>
        <w:rPr>
          <w:rFonts w:hint="default" w:ascii="Times New Roman" w:hAnsi="Times New Roman" w:cs="Times New Roman"/>
          <w:color w:val="auto"/>
          <w:highlight w:val="none"/>
        </w:rPr>
        <w:t>粮食总产量达</w:t>
      </w:r>
      <w:r>
        <w:rPr>
          <w:rFonts w:hint="default" w:ascii="Times New Roman" w:hAnsi="Times New Roman" w:cs="Times New Roman"/>
          <w:color w:val="auto"/>
          <w:highlight w:val="none"/>
          <w:lang w:val="en-US" w:eastAsia="zh-CN"/>
        </w:rPr>
        <w:t>26.05</w:t>
      </w:r>
      <w:r>
        <w:rPr>
          <w:rFonts w:hint="default" w:ascii="Times New Roman" w:hAnsi="Times New Roman" w:cs="Times New Roman"/>
          <w:color w:val="auto"/>
          <w:highlight w:val="none"/>
        </w:rPr>
        <w:t>万吨，油料产量5.50万吨，蔬菜播种面积</w:t>
      </w:r>
      <w:r>
        <w:rPr>
          <w:rFonts w:hint="default" w:ascii="Times New Roman" w:hAnsi="Times New Roman" w:cs="Times New Roman"/>
          <w:color w:val="auto"/>
          <w:highlight w:val="none"/>
          <w:lang w:val="en-US" w:eastAsia="zh-CN"/>
        </w:rPr>
        <w:t>53.06</w:t>
      </w:r>
      <w:r>
        <w:rPr>
          <w:rFonts w:hint="default" w:ascii="Times New Roman" w:hAnsi="Times New Roman" w:cs="Times New Roman"/>
          <w:color w:val="auto"/>
          <w:highlight w:val="none"/>
        </w:rPr>
        <w:t>万亩次，总产</w:t>
      </w:r>
      <w:r>
        <w:rPr>
          <w:rFonts w:hint="default" w:ascii="Times New Roman" w:hAnsi="Times New Roman" w:cs="Times New Roman"/>
          <w:color w:val="auto"/>
          <w:highlight w:val="none"/>
          <w:lang w:eastAsia="zh-CN"/>
        </w:rPr>
        <w:t>量</w:t>
      </w:r>
      <w:r>
        <w:rPr>
          <w:rFonts w:hint="default" w:ascii="Times New Roman" w:hAnsi="Times New Roman" w:cs="Times New Roman"/>
          <w:color w:val="auto"/>
          <w:highlight w:val="none"/>
          <w:lang w:val="en-US" w:eastAsia="zh-CN"/>
        </w:rPr>
        <w:t>135.75</w:t>
      </w:r>
      <w:r>
        <w:rPr>
          <w:rFonts w:hint="default" w:ascii="Times New Roman" w:hAnsi="Times New Roman" w:cs="Times New Roman"/>
          <w:color w:val="auto"/>
          <w:highlight w:val="none"/>
        </w:rPr>
        <w:t>万吨，</w:t>
      </w:r>
      <w:r>
        <w:rPr>
          <w:rFonts w:hint="default" w:ascii="Times New Roman" w:hAnsi="Times New Roman" w:cs="Times New Roman"/>
          <w:color w:val="auto"/>
          <w:highlight w:val="none"/>
          <w:lang w:eastAsia="zh-CN"/>
        </w:rPr>
        <w:t>基本</w:t>
      </w:r>
      <w:r>
        <w:rPr>
          <w:rFonts w:hint="default" w:ascii="Times New Roman" w:hAnsi="Times New Roman" w:cs="Times New Roman"/>
          <w:color w:val="auto"/>
          <w:highlight w:val="none"/>
        </w:rPr>
        <w:t>形成设施草莓、西甜瓜、精品蔬菜、特色蔬菜、</w:t>
      </w:r>
      <w:r>
        <w:rPr>
          <w:rFonts w:hint="default" w:ascii="Times New Roman" w:hAnsi="Times New Roman" w:cs="Times New Roman"/>
          <w:color w:val="auto"/>
          <w:lang w:val="en-US" w:eastAsia="zh-CN"/>
        </w:rPr>
        <w:t>设施果菜</w:t>
      </w:r>
      <w:r>
        <w:rPr>
          <w:rFonts w:hint="default" w:ascii="Times New Roman" w:hAnsi="Times New Roman" w:cs="Times New Roman"/>
          <w:color w:val="auto"/>
          <w:highlight w:val="none"/>
        </w:rPr>
        <w:t>、周年叶菜等产业集群；畜牧业健康发展，成功</w:t>
      </w:r>
      <w:r>
        <w:rPr>
          <w:rFonts w:hint="default" w:ascii="Times New Roman" w:hAnsi="Times New Roman" w:cs="Times New Roman"/>
          <w:color w:val="auto"/>
          <w:highlight w:val="none"/>
          <w:lang w:eastAsia="zh-CN"/>
        </w:rPr>
        <w:t>建成</w:t>
      </w:r>
      <w:r>
        <w:rPr>
          <w:rFonts w:hint="default" w:ascii="Times New Roman" w:hAnsi="Times New Roman" w:cs="Times New Roman"/>
          <w:color w:val="auto"/>
          <w:highlight w:val="none"/>
        </w:rPr>
        <w:t>南通首个“国家级布病净化场”，猪牛羊禽肉产量</w:t>
      </w:r>
      <w:r>
        <w:rPr>
          <w:rFonts w:hint="default" w:ascii="Times New Roman" w:hAnsi="Times New Roman" w:cs="Times New Roman"/>
          <w:color w:val="auto"/>
          <w:lang w:val="en-US" w:eastAsia="zh-CN"/>
        </w:rPr>
        <w:t>4.03</w:t>
      </w:r>
      <w:r>
        <w:rPr>
          <w:rFonts w:hint="default" w:ascii="Times New Roman" w:hAnsi="Times New Roman" w:cs="Times New Roman"/>
          <w:color w:val="auto"/>
          <w:highlight w:val="none"/>
        </w:rPr>
        <w:t>万吨，超额完成“十四五”目标，能繁母猪存栏</w:t>
      </w:r>
      <w:r>
        <w:rPr>
          <w:rFonts w:hint="default" w:ascii="Times New Roman" w:hAnsi="Times New Roman" w:cs="Times New Roman"/>
          <w:color w:val="auto"/>
        </w:rPr>
        <w:t>量</w:t>
      </w:r>
      <w:r>
        <w:rPr>
          <w:rFonts w:hint="default" w:ascii="Times New Roman" w:hAnsi="Times New Roman" w:cs="Times New Roman"/>
          <w:color w:val="auto"/>
          <w:lang w:eastAsia="zh-CN"/>
        </w:rPr>
        <w:t>处于正常保有量的</w:t>
      </w:r>
      <w:r>
        <w:rPr>
          <w:rFonts w:hint="default" w:ascii="Times New Roman" w:hAnsi="Times New Roman" w:cs="Times New Roman"/>
          <w:color w:val="auto"/>
          <w:lang w:val="en-US" w:eastAsia="zh-CN"/>
        </w:rPr>
        <w:t>绿色区间，</w:t>
      </w:r>
      <w:r>
        <w:rPr>
          <w:rFonts w:hint="default" w:ascii="Times New Roman" w:hAnsi="Times New Roman" w:cs="Times New Roman"/>
          <w:color w:val="auto"/>
          <w:highlight w:val="none"/>
        </w:rPr>
        <w:t>畜禽粪污综合利用率达96.2</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%。渔业总产量5.57万吨。农产品质量安全水平持续提升，2021年创成首批“全国农作物病虫害绿色防控示范县”，2023年入选“国家农业绿色发展先行区”，</w:t>
      </w:r>
      <w:r>
        <w:rPr>
          <w:rFonts w:hint="default" w:ascii="Times New Roman" w:hAnsi="Times New Roman" w:cs="Times New Roman"/>
          <w:color w:val="auto"/>
          <w:lang w:val="en-US" w:eastAsia="zh-CN"/>
        </w:rPr>
        <w:t>2025年“海门山羊肉</w:t>
      </w:r>
      <w:r>
        <w:rPr>
          <w:rFonts w:hint="default" w:ascii="Times New Roman" w:hAnsi="Times New Roman" w:cs="Times New Roman"/>
          <w:color w:val="auto"/>
          <w:highlight w:val="none"/>
        </w:rPr>
        <w:t>”获评全国名特优新农产品。至“十四五”末，省级以上农产品质量安全监测合格率保持在99%以上，绿色优质农产品比重全市名列前茅，累计开具食用农产品承诺达标合格证501万余张，未发生农产品质量安全事故</w:t>
      </w:r>
      <w:bookmarkStart w:id="6" w:name="_Toc2021787426"/>
      <w:bookmarkStart w:id="7" w:name="_Toc275471473"/>
      <w:r>
        <w:rPr>
          <w:rFonts w:hint="default" w:ascii="Times New Roman" w:hAnsi="Times New Roman" w:cs="Times New Roman"/>
          <w:color w:val="auto"/>
          <w:highlight w:val="none"/>
          <w:lang w:eastAsia="zh-CN"/>
        </w:rPr>
        <w:t>。</w:t>
      </w:r>
      <w:r>
        <w:rPr>
          <w:rFonts w:hint="default" w:ascii="Times New Roman" w:hAnsi="Times New Roman" w:cs="Times New Roman"/>
          <w:color w:val="auto"/>
          <w:lang w:val="en-US" w:eastAsia="zh-CN"/>
        </w:rPr>
        <w:t>全力推行基层农技推广服务体系改革，初步构建了“1+3+4+11”区域性农业综合服务体系，基层农技推广服务能力持续增强。</w:t>
      </w:r>
    </w:p>
    <w:bookmarkEnd w:id="6"/>
    <w:p w14:paraId="3C6644A6">
      <w:pPr>
        <w:pageBreakBefore w:val="0"/>
        <w:wordWrap/>
        <w:overflowPunct/>
        <w:topLinePunct w:val="0"/>
        <w:bidi w:val="0"/>
        <w:ind w:left="0" w:leftChars="0"/>
        <w:rPr>
          <w:rFonts w:hint="default" w:ascii="Times New Roman" w:hAnsi="Times New Roman" w:cs="Times New Roman"/>
          <w:color w:val="auto"/>
          <w:highlight w:val="none"/>
        </w:rPr>
      </w:pPr>
      <w:r>
        <w:rPr>
          <w:rFonts w:hint="default" w:ascii="Times New Roman" w:hAnsi="Times New Roman" w:cs="Times New Roman"/>
          <w:b/>
          <w:bCs/>
          <w:color w:val="auto"/>
        </w:rPr>
        <w:t>全产业链提质增效，产业融合纵深发展</w:t>
      </w:r>
      <w:r>
        <w:rPr>
          <w:rFonts w:hint="default" w:ascii="Times New Roman" w:hAnsi="Times New Roman" w:cs="Times New Roman"/>
          <w:b/>
          <w:bCs/>
          <w:color w:val="auto"/>
          <w:lang w:eastAsia="zh-CN"/>
        </w:rPr>
        <w:t>。</w:t>
      </w:r>
      <w:r>
        <w:rPr>
          <w:rFonts w:hint="default" w:ascii="Times New Roman" w:hAnsi="Times New Roman" w:cs="Times New Roman"/>
          <w:color w:val="auto"/>
        </w:rPr>
        <w:t>“十四五”</w:t>
      </w:r>
      <w:r>
        <w:rPr>
          <w:rFonts w:hint="default" w:ascii="Times New Roman" w:hAnsi="Times New Roman" w:cs="Times New Roman"/>
          <w:color w:val="auto"/>
          <w:lang w:val="en-US" w:eastAsia="zh-CN"/>
        </w:rPr>
        <w:t>期间海门区</w:t>
      </w:r>
      <w:r>
        <w:rPr>
          <w:rFonts w:hint="default" w:ascii="Times New Roman" w:hAnsi="Times New Roman" w:cs="Times New Roman"/>
          <w:color w:val="auto"/>
          <w:highlight w:val="none"/>
        </w:rPr>
        <w:t>积极培育农业产业链主体，涌现一批年产值超亿元的“链主”企业</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2021年入选“全国农产品产地冷藏保鲜设施整县推进试点县”</w:t>
      </w:r>
      <w:r>
        <w:rPr>
          <w:rFonts w:hint="eastAsia" w:ascii="Times New Roman" w:hAnsi="Times New Roman" w:cs="Times New Roman"/>
          <w:color w:val="auto"/>
          <w:highlight w:val="none"/>
          <w:lang w:eastAsia="zh-CN"/>
        </w:rPr>
        <w:t>；</w:t>
      </w:r>
      <w:r>
        <w:rPr>
          <w:rFonts w:hint="default" w:ascii="Times New Roman" w:hAnsi="Times New Roman" w:cs="Times New Roman"/>
          <w:color w:val="auto"/>
          <w:lang w:val="en-US" w:eastAsia="zh-CN"/>
        </w:rPr>
        <w:t>农业农村电子商务稳步发展，2024年农产品网络销售额达11.23亿元</w:t>
      </w:r>
      <w:r>
        <w:rPr>
          <w:rFonts w:hint="eastAsia" w:ascii="Times New Roman" w:hAnsi="Times New Roman" w:cs="Times New Roman"/>
          <w:color w:val="auto"/>
          <w:lang w:val="en-US" w:eastAsia="zh-CN"/>
        </w:rPr>
        <w:t>；</w:t>
      </w:r>
      <w:r>
        <w:rPr>
          <w:rFonts w:hint="default" w:ascii="Times New Roman" w:hAnsi="Times New Roman" w:cs="Times New Roman"/>
          <w:color w:val="auto"/>
          <w:highlight w:val="none"/>
        </w:rPr>
        <w:t>农文旅融合成效显著，2021年常乐镇中南村获评“中国美丽休闲乡村”，2023年海门区</w:t>
      </w:r>
      <w:r>
        <w:rPr>
          <w:rFonts w:hint="default" w:ascii="Times New Roman" w:hAnsi="Times New Roman" w:cs="Times New Roman"/>
          <w:color w:val="auto"/>
          <w:highlight w:val="none"/>
          <w:lang w:eastAsia="zh-CN"/>
        </w:rPr>
        <w:t>入选</w:t>
      </w:r>
      <w:r>
        <w:rPr>
          <w:rFonts w:hint="default" w:ascii="Times New Roman" w:hAnsi="Times New Roman" w:cs="Times New Roman"/>
          <w:color w:val="auto"/>
          <w:highlight w:val="none"/>
        </w:rPr>
        <w:t>“全国休闲农业重点县”，2024年乡村休闲旅游农业综合收入7.80亿元，同比增长13.10%</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产业集聚态势初步形成，2021年省级现代农业产业示范园获评优秀等次，2022年正余镇入选首批国家农业产业强镇，2024年四甲镇</w:t>
      </w:r>
      <w:r>
        <w:rPr>
          <w:rFonts w:hint="default" w:ascii="Times New Roman" w:hAnsi="Times New Roman" w:cs="Times New Roman"/>
          <w:color w:val="auto"/>
          <w:highlight w:val="none"/>
          <w:lang w:eastAsia="zh-CN"/>
        </w:rPr>
        <w:t>被认定为</w:t>
      </w:r>
      <w:r>
        <w:rPr>
          <w:rFonts w:hint="default" w:ascii="Times New Roman" w:hAnsi="Times New Roman" w:cs="Times New Roman"/>
          <w:color w:val="auto"/>
          <w:highlight w:val="none"/>
        </w:rPr>
        <w:t>第二个省级农产品加工集中区。</w:t>
      </w:r>
      <w:r>
        <w:rPr>
          <w:rFonts w:hint="default" w:ascii="Times New Roman" w:hAnsi="Times New Roman" w:cs="Times New Roman"/>
          <w:color w:val="auto"/>
          <w:lang w:val="en-US" w:eastAsia="zh-CN"/>
        </w:rPr>
        <w:t>2024年</w:t>
      </w:r>
      <w:r>
        <w:rPr>
          <w:rFonts w:hint="eastAsia" w:ascii="Times New Roman" w:hAnsi="Times New Roman" w:cs="Times New Roman"/>
          <w:color w:val="auto"/>
          <w:lang w:val="en-US" w:eastAsia="zh-CN"/>
        </w:rPr>
        <w:t>全区</w:t>
      </w:r>
      <w:r>
        <w:rPr>
          <w:rFonts w:hint="default" w:ascii="Times New Roman" w:hAnsi="Times New Roman" w:cs="Times New Roman"/>
          <w:color w:val="auto"/>
          <w:lang w:val="en-US" w:eastAsia="zh-CN"/>
        </w:rPr>
        <w:t>农业农村重大项目实施水平居南通首位</w:t>
      </w:r>
      <w:r>
        <w:rPr>
          <w:rFonts w:hint="eastAsia" w:ascii="Times New Roman" w:hAnsi="Times New Roman" w:cs="Times New Roman"/>
          <w:color w:val="auto"/>
          <w:lang w:val="en-US" w:eastAsia="zh-CN"/>
        </w:rPr>
        <w:t>；</w:t>
      </w:r>
      <w:r>
        <w:rPr>
          <w:rFonts w:hint="default" w:ascii="Times New Roman" w:hAnsi="Times New Roman" w:cs="Times New Roman"/>
          <w:color w:val="auto"/>
          <w:highlight w:val="none"/>
        </w:rPr>
        <w:t>大力推进</w:t>
      </w:r>
      <w:r>
        <w:rPr>
          <w:rFonts w:hint="default" w:ascii="Times New Roman" w:hAnsi="Times New Roman" w:cs="Times New Roman"/>
          <w:color w:val="auto"/>
        </w:rPr>
        <w:t>“三化”</w:t>
      </w:r>
      <w:r>
        <w:rPr>
          <w:rStyle w:val="29"/>
          <w:rFonts w:hint="default" w:ascii="Times New Roman" w:hAnsi="Times New Roman" w:cs="Times New Roman"/>
          <w:color w:val="auto"/>
        </w:rPr>
        <w:footnoteReference w:id="0"/>
      </w:r>
      <w:r>
        <w:rPr>
          <w:rFonts w:hint="default" w:ascii="Times New Roman" w:hAnsi="Times New Roman" w:cs="Times New Roman"/>
          <w:color w:val="auto"/>
          <w:highlight w:val="none"/>
        </w:rPr>
        <w:t>发展，区域公用品牌影响力持续扩大，2024年“海门山羊”入选国家农业品牌目录，逐步树立“张謇故里·诗画海门”休闲农业品牌</w:t>
      </w:r>
      <w:r>
        <w:rPr>
          <w:rFonts w:hint="default" w:ascii="Times New Roman" w:hAnsi="Times New Roman" w:cs="Times New Roman"/>
          <w:color w:val="auto"/>
          <w:highlight w:val="none"/>
          <w:lang w:eastAsia="zh-CN"/>
        </w:rPr>
        <w:t>形象</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新型农业经营体系日益健全，2021年入选全国农民专业合作社质量提升整县推进试点及全国农业生产社会化服务创新试点县。全区累计培育家庭农场2724家（省级22家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、农业龙头企业51家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国家级3家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p>
    <w:bookmarkEnd w:id="7"/>
    <w:p w14:paraId="6B5CFBD3">
      <w:pPr>
        <w:pageBreakBefore w:val="0"/>
        <w:wordWrap/>
        <w:overflowPunct/>
        <w:topLinePunct w:val="0"/>
        <w:bidi w:val="0"/>
        <w:ind w:left="0" w:leftChars="0"/>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科技装备支撑强化，发展动能持续增强。</w:t>
      </w:r>
      <w:r>
        <w:rPr>
          <w:rFonts w:hint="default" w:ascii="Times New Roman" w:hAnsi="Times New Roman" w:eastAsia="仿宋_GB2312" w:cs="Times New Roman"/>
          <w:color w:val="auto"/>
          <w:sz w:val="32"/>
          <w:szCs w:val="32"/>
          <w:highlight w:val="none"/>
          <w:lang w:val="en-US" w:eastAsia="zh-CN"/>
        </w:rPr>
        <w:t>锚定“逐步把永久基本农田全部建成高标准农田”目标</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cs="Times New Roman"/>
          <w:color w:val="auto"/>
          <w:lang w:val="en-US" w:eastAsia="zh-CN"/>
        </w:rPr>
        <w:t>以全国整区域推进高标准农田试点为契机，</w:t>
      </w:r>
      <w:r>
        <w:rPr>
          <w:rFonts w:hint="default" w:ascii="Times New Roman" w:hAnsi="Times New Roman" w:cs="Times New Roman"/>
          <w:color w:val="auto"/>
        </w:rPr>
        <w:t>强化耕地保护和质量提升，推进高标准农田建设，</w:t>
      </w:r>
      <w:r>
        <w:rPr>
          <w:rFonts w:hint="default" w:ascii="Times New Roman" w:hAnsi="Times New Roman" w:cs="Times New Roman"/>
          <w:color w:val="auto"/>
          <w:lang w:val="en-US" w:eastAsia="zh-CN"/>
        </w:rPr>
        <w:t>“十四五”期间新建、改造提升25.66万亩，</w:t>
      </w:r>
      <w:r>
        <w:rPr>
          <w:rFonts w:hint="eastAsia" w:ascii="Times New Roman" w:hAnsi="Times New Roman" w:cs="Times New Roman"/>
          <w:color w:val="auto"/>
          <w:lang w:val="en-US" w:eastAsia="zh-CN"/>
        </w:rPr>
        <w:t>已</w:t>
      </w:r>
      <w:r>
        <w:rPr>
          <w:rFonts w:hint="default" w:ascii="Times New Roman" w:hAnsi="Times New Roman" w:cs="Times New Roman"/>
          <w:color w:val="auto"/>
          <w:lang w:val="en-US" w:eastAsia="zh-CN"/>
        </w:rPr>
        <w:t>累计建成高标准农田53.86万亩</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占永久基本农田面积的87%</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2021年获江苏省政府办公厅督查激励</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农业机械化水平显著提升，2021年创成全国“率先基本实现主要农作物生产全程机械化示范县”，2025年智能农机装备保有量超960台（套），农业机械总动力达42.77万千瓦，农作物耕种收综合机械化率达91.41%</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深入实施种业振兴五大行动，加强地方品种保护与创新，“海蜜H11724”获得品种登记证书和植物新品种权证书、海蜜H11918获得品种登记证书</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数字农业加快布局，建成省级数字农场（海门豪杰家庭农场）、智慧牧场（江苏京海禽业集团有限公司悦合二场）、数字渔场（海门四甲镇头桥村股份经济合作社）。区镇全覆盖配备</w:t>
      </w:r>
      <w:r>
        <w:rPr>
          <w:rFonts w:hint="default" w:ascii="Times New Roman" w:hAnsi="Times New Roman" w:cs="Times New Roman"/>
          <w:color w:val="auto"/>
        </w:rPr>
        <w:t>土壤墒情、虫情</w:t>
      </w:r>
      <w:r>
        <w:rPr>
          <w:rFonts w:hint="default" w:ascii="Times New Roman" w:hAnsi="Times New Roman" w:cs="Times New Roman"/>
          <w:color w:val="auto"/>
          <w:lang w:val="en-US" w:eastAsia="zh-CN"/>
        </w:rPr>
        <w:t>等智能监测设备，部分设备与省智慧农事服务中心实现数据联通。</w:t>
      </w:r>
    </w:p>
    <w:p w14:paraId="4FF53221">
      <w:pPr>
        <w:pageBreakBefore w:val="0"/>
        <w:wordWrap/>
        <w:overflowPunct/>
        <w:topLinePunct w:val="0"/>
        <w:bidi w:val="0"/>
        <w:ind w:left="0" w:leftChars="0"/>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和美乡村建设突破，人居环境显著改善。</w:t>
      </w:r>
      <w:r>
        <w:rPr>
          <w:rFonts w:hint="default" w:ascii="Times New Roman" w:hAnsi="Times New Roman" w:cs="Times New Roman"/>
          <w:color w:val="auto"/>
        </w:rPr>
        <w:t>大力推进乡村振兴战略，</w:t>
      </w:r>
      <w:r>
        <w:rPr>
          <w:rFonts w:hint="default" w:ascii="Times New Roman" w:hAnsi="Times New Roman" w:cs="Times New Roman"/>
          <w:color w:val="auto"/>
          <w:lang w:val="en-US" w:eastAsia="zh-CN"/>
        </w:rPr>
        <w:t>宜居宜业和美乡村建设初现成效，近六年持续位列江苏省乡村振兴实绩第一方阵。累计创成省级宜居宜业和美乡村39个，培育南通市级以上示范村（先行村）40个，“张謇故里宜居宜业和美乡村片区”入选省级首批培育名单。2021年获评“全国村庄清洁行动先进县”，余东镇富民村、常乐镇中南村分获“全国乡村治理示范村”“全国先进基层党组织”称号；2024年入选“全国党建引领乡村治理试点县”“全国城乡交通运输一体化示范区”，县级及以上文明村占比达76.20%。农村人居环境持续优化，农村生活污水治理率达83.60%，无害化卫生户厕覆盖率达99.50%。三星镇获评“商贸服务型国家物流枢纽”“纺织行业数字化转型劳动竞赛先进产业集群”。农村改革稳步推进，2023年成功入选全国农村综合性改革试点试验区。</w:t>
      </w:r>
    </w:p>
    <w:p w14:paraId="48A4BCD4">
      <w:pPr>
        <w:pageBreakBefore w:val="0"/>
        <w:wordWrap/>
        <w:overflowPunct/>
        <w:topLinePunct w:val="0"/>
        <w:bidi w:val="0"/>
        <w:ind w:left="0" w:leftChars="0"/>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农民收入稳步提高，共同富裕扎实推进。</w:t>
      </w:r>
      <w:r>
        <w:rPr>
          <w:rFonts w:hint="default" w:ascii="Times New Roman" w:hAnsi="Times New Roman" w:cs="Times New Roman"/>
          <w:color w:val="auto"/>
        </w:rPr>
        <w:t>完善“创业培训+创业担保贷款+创业服务”</w:t>
      </w:r>
      <w:r>
        <w:rPr>
          <w:rFonts w:hint="default" w:ascii="Times New Roman" w:hAnsi="Times New Roman" w:cs="Times New Roman"/>
          <w:color w:val="auto"/>
          <w:lang w:eastAsia="zh-CN"/>
        </w:rPr>
        <w:t>“</w:t>
      </w:r>
      <w:r>
        <w:rPr>
          <w:rFonts w:hint="default" w:ascii="Times New Roman" w:hAnsi="Times New Roman" w:cs="Times New Roman"/>
          <w:color w:val="auto"/>
        </w:rPr>
        <w:t>三位一体</w:t>
      </w:r>
      <w:r>
        <w:rPr>
          <w:rFonts w:hint="default" w:ascii="Times New Roman" w:hAnsi="Times New Roman" w:cs="Times New Roman"/>
          <w:color w:val="auto"/>
          <w:lang w:eastAsia="zh-CN"/>
        </w:rPr>
        <w:t>”</w:t>
      </w:r>
      <w:r>
        <w:rPr>
          <w:rFonts w:hint="default" w:ascii="Times New Roman" w:hAnsi="Times New Roman" w:cs="Times New Roman"/>
          <w:color w:val="auto"/>
        </w:rPr>
        <w:t>帮扶机制，推动农民创新创业</w:t>
      </w:r>
      <w:r>
        <w:rPr>
          <w:rFonts w:hint="eastAsia" w:ascii="Times New Roman" w:hAnsi="Times New Roman" w:cs="Times New Roman"/>
          <w:color w:val="auto"/>
          <w:lang w:eastAsia="zh-CN"/>
        </w:rPr>
        <w:t>。</w:t>
      </w:r>
      <w:r>
        <w:rPr>
          <w:rFonts w:hint="default" w:ascii="Times New Roman" w:hAnsi="Times New Roman" w:cs="Times New Roman"/>
          <w:color w:val="auto"/>
          <w:lang w:val="en-US" w:eastAsia="zh-CN"/>
        </w:rPr>
        <w:t>着力提升农民能力素质，2025年培育高素质农民3600余人次</w:t>
      </w:r>
      <w:r>
        <w:rPr>
          <w:rFonts w:hint="eastAsia" w:ascii="Times New Roman" w:hAnsi="Times New Roman" w:cs="Times New Roman"/>
          <w:color w:val="auto"/>
          <w:lang w:val="en-US" w:eastAsia="zh-CN"/>
        </w:rPr>
        <w:t>，“十四五”期间累计培育</w:t>
      </w:r>
      <w:r>
        <w:rPr>
          <w:rFonts w:hint="default" w:ascii="Times New Roman" w:hAnsi="Times New Roman" w:cs="Times New Roman"/>
          <w:color w:val="auto"/>
          <w:lang w:val="en-US" w:eastAsia="zh-CN"/>
        </w:rPr>
        <w:t>高素质农</w:t>
      </w:r>
      <w:r>
        <w:rPr>
          <w:rFonts w:hint="eastAsia" w:ascii="Times New Roman" w:hAnsi="Times New Roman" w:cs="Times New Roman"/>
          <w:color w:val="auto"/>
          <w:lang w:val="en-US" w:eastAsia="zh-CN"/>
        </w:rPr>
        <w:t>民超1万人、</w:t>
      </w:r>
      <w:r>
        <w:rPr>
          <w:rFonts w:hint="default" w:ascii="Times New Roman" w:hAnsi="Times New Roman" w:cs="Times New Roman"/>
          <w:color w:val="auto"/>
          <w:lang w:val="en-US" w:eastAsia="zh-CN"/>
        </w:rPr>
        <w:t>农村养老护理员、保育员400</w:t>
      </w:r>
      <w:r>
        <w:rPr>
          <w:rFonts w:hint="eastAsia" w:ascii="Times New Roman" w:hAnsi="Times New Roman" w:cs="Times New Roman"/>
          <w:color w:val="auto"/>
          <w:lang w:val="en-US" w:eastAsia="zh-CN"/>
        </w:rPr>
        <w:t>0余</w:t>
      </w:r>
      <w:r>
        <w:rPr>
          <w:rFonts w:hint="default" w:ascii="Times New Roman" w:hAnsi="Times New Roman" w:cs="Times New Roman"/>
          <w:color w:val="auto"/>
          <w:lang w:val="en-US" w:eastAsia="zh-CN"/>
        </w:rPr>
        <w:t>人。持续实施就业帮促等“十大行动”，牢牢守住不发生规模性返贫底线，</w:t>
      </w:r>
      <w:r>
        <w:rPr>
          <w:rFonts w:hint="default" w:ascii="Times New Roman" w:hAnsi="Times New Roman" w:cs="Times New Roman"/>
          <w:color w:val="auto"/>
        </w:rPr>
        <w:t>脱贫攻坚与乡村振兴基本实现有效衔接。2025年，全区农村居民人均可支配收入40915元，增幅5.2%，总量、增量均列南通第1，较2020年增长41.5%，城乡居民收入比缩小至1.72:1。</w:t>
      </w:r>
      <w:r>
        <w:rPr>
          <w:rFonts w:hint="default" w:ascii="Times New Roman" w:hAnsi="Times New Roman" w:cs="Times New Roman"/>
          <w:color w:val="auto"/>
          <w:lang w:val="en-US" w:eastAsia="zh-CN"/>
        </w:rPr>
        <w:t>2025年村均村集体经营性收入77.19万元，稳定性收入占比提升至74.92%。随着收入增长，农民生活品质持续提升，2025年农村居民恩格尔系数降至28.10%。</w:t>
      </w:r>
    </w:p>
    <w:p w14:paraId="05A329EA">
      <w:pPr>
        <w:pageBreakBefore w:val="0"/>
        <w:wordWrap/>
        <w:overflowPunct/>
        <w:topLinePunct w:val="0"/>
        <w:bidi w:val="0"/>
        <w:ind w:left="0" w:leftChars="0"/>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城乡融合持续深化，公共服务均衡发展。</w:t>
      </w:r>
      <w:r>
        <w:rPr>
          <w:rFonts w:hint="default" w:ascii="Times New Roman" w:hAnsi="Times New Roman" w:cs="Times New Roman"/>
          <w:color w:val="auto"/>
          <w:lang w:val="en-US" w:eastAsia="zh-CN"/>
        </w:rPr>
        <w:t>城乡居民收入差距进一步缩小，2025年城乡居民收入倍差为1.72。社会保障体系日益健全，基本医疗保险参保全覆盖，医疗救助托底功能持续增强，长期护理保险全面实施，“一站式”照护服务中心高标准建成，全区11个区镇（街道）医保服务站均达省级示范标准，“15分钟医保服务圈”全域贯通。农村教育优质均衡发展，2024年创成“全国首批义务教育优质均衡发展区”（苏中苏北唯一），并入选首批“全国中小学科学教育实验区”。</w:t>
      </w:r>
      <w:r>
        <w:rPr>
          <w:rFonts w:hint="default" w:ascii="Times New Roman" w:hAnsi="Times New Roman" w:cs="Times New Roman"/>
          <w:color w:val="auto"/>
        </w:rPr>
        <w:t>60周岁以上</w:t>
      </w:r>
      <w:r>
        <w:rPr>
          <w:rFonts w:hint="default" w:ascii="Times New Roman" w:hAnsi="Times New Roman" w:cs="Times New Roman"/>
          <w:color w:val="auto"/>
          <w:lang w:val="en-US" w:eastAsia="zh-CN"/>
        </w:rPr>
        <w:t>且</w:t>
      </w:r>
      <w:r>
        <w:rPr>
          <w:rFonts w:hint="default" w:ascii="Times New Roman" w:hAnsi="Times New Roman" w:cs="Times New Roman"/>
          <w:color w:val="auto"/>
        </w:rPr>
        <w:t>符合享受城乡居保条件的人员全部参加了城乡居民基本养老保险，牢固构筑了城乡居民基本养老保险基金安全防线，</w:t>
      </w:r>
      <w:r>
        <w:rPr>
          <w:rFonts w:hint="default" w:ascii="Times New Roman" w:hAnsi="Times New Roman" w:cs="Times New Roman"/>
          <w:color w:val="auto"/>
          <w:lang w:val="en-US" w:eastAsia="zh-CN"/>
        </w:rPr>
        <w:t>2024年获评省级第二批“标准居家社区养老服务网络地区”。</w:t>
      </w:r>
    </w:p>
    <w:p w14:paraId="69FCF31A">
      <w:pPr>
        <w:pageBreakBefore w:val="0"/>
        <w:wordWrap/>
        <w:overflowPunct/>
        <w:topLinePunct w:val="0"/>
        <w:bidi w:val="0"/>
        <w:ind w:left="0" w:left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表1 “十四五”时期海门区农业农村获得省级以上荣誉</w:t>
      </w:r>
    </w:p>
    <w:tbl>
      <w:tblPr>
        <w:tblStyle w:val="44"/>
        <w:tblpPr w:leftFromText="180" w:rightFromText="180" w:vertAnchor="text" w:horzAnchor="page" w:tblpXSpec="center" w:tblpY="172"/>
        <w:tblOverlap w:val="never"/>
        <w:tblW w:w="945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092"/>
        <w:gridCol w:w="1334"/>
        <w:gridCol w:w="5689"/>
        <w:gridCol w:w="1336"/>
      </w:tblGrid>
      <w:tr w14:paraId="511C2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jc w:val="center"/>
        </w:trPr>
        <w:tc>
          <w:tcPr>
            <w:tcW w:w="1092" w:type="dxa"/>
            <w:shd w:val="clear" w:color="auto" w:fill="F1F1F1" w:themeFill="background1" w:themeFillShade="F2"/>
            <w:vAlign w:val="center"/>
          </w:tcPr>
          <w:p w14:paraId="4D762482">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黑体" w:cs="Times New Roman"/>
                <w:snapToGrid w:val="0"/>
                <w:color w:val="auto"/>
                <w:spacing w:val="-8"/>
                <w:sz w:val="24"/>
                <w:szCs w:val="24"/>
                <w:lang w:val="en-US" w:eastAsia="zh-CN"/>
              </w:rPr>
            </w:pPr>
            <w:r>
              <w:rPr>
                <w:rFonts w:hint="default" w:ascii="Times New Roman" w:hAnsi="Times New Roman" w:eastAsia="黑体" w:cs="Times New Roman"/>
                <w:snapToGrid w:val="0"/>
                <w:color w:val="auto"/>
                <w:spacing w:val="-8"/>
                <w:sz w:val="24"/>
                <w:szCs w:val="24"/>
                <w:lang w:val="en-US" w:eastAsia="zh-CN"/>
              </w:rPr>
              <w:t>序号</w:t>
            </w:r>
          </w:p>
        </w:tc>
        <w:tc>
          <w:tcPr>
            <w:tcW w:w="1334" w:type="dxa"/>
            <w:shd w:val="clear" w:color="auto" w:fill="F1F1F1" w:themeFill="background1" w:themeFillShade="F2"/>
            <w:vAlign w:val="center"/>
          </w:tcPr>
          <w:p w14:paraId="49975C64">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黑体" w:cs="Times New Roman"/>
                <w:snapToGrid w:val="0"/>
                <w:color w:val="auto"/>
                <w:sz w:val="24"/>
                <w:szCs w:val="24"/>
                <w:lang w:eastAsia="en-US"/>
              </w:rPr>
            </w:pPr>
            <w:r>
              <w:rPr>
                <w:rFonts w:hint="default" w:ascii="Times New Roman" w:hAnsi="Times New Roman" w:eastAsia="黑体" w:cs="Times New Roman"/>
                <w:snapToGrid w:val="0"/>
                <w:color w:val="auto"/>
                <w:spacing w:val="-8"/>
                <w:sz w:val="24"/>
                <w:szCs w:val="24"/>
                <w:lang w:eastAsia="en-US"/>
              </w:rPr>
              <w:t>年份</w:t>
            </w:r>
          </w:p>
        </w:tc>
        <w:tc>
          <w:tcPr>
            <w:tcW w:w="5689" w:type="dxa"/>
            <w:shd w:val="clear" w:color="auto" w:fill="F1F1F1" w:themeFill="background1" w:themeFillShade="F2"/>
            <w:vAlign w:val="center"/>
          </w:tcPr>
          <w:p w14:paraId="6E70205F">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黑体" w:cs="Times New Roman"/>
                <w:snapToGrid w:val="0"/>
                <w:color w:val="auto"/>
                <w:sz w:val="24"/>
                <w:szCs w:val="24"/>
                <w:lang w:eastAsia="en-US"/>
              </w:rPr>
            </w:pPr>
            <w:r>
              <w:rPr>
                <w:rFonts w:hint="default" w:ascii="Times New Roman" w:hAnsi="Times New Roman" w:eastAsia="黑体" w:cs="Times New Roman"/>
                <w:snapToGrid w:val="0"/>
                <w:color w:val="auto"/>
                <w:spacing w:val="-2"/>
                <w:sz w:val="24"/>
                <w:szCs w:val="24"/>
                <w:lang w:eastAsia="en-US"/>
              </w:rPr>
              <w:t>获得荣誉</w:t>
            </w:r>
          </w:p>
        </w:tc>
        <w:tc>
          <w:tcPr>
            <w:tcW w:w="1336" w:type="dxa"/>
            <w:shd w:val="clear" w:color="auto" w:fill="F1F1F1" w:themeFill="background1" w:themeFillShade="F2"/>
            <w:vAlign w:val="center"/>
          </w:tcPr>
          <w:p w14:paraId="417312C8">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黑体" w:cs="Times New Roman"/>
                <w:snapToGrid w:val="0"/>
                <w:color w:val="auto"/>
                <w:sz w:val="24"/>
                <w:szCs w:val="24"/>
                <w:lang w:eastAsia="en-US"/>
              </w:rPr>
            </w:pPr>
            <w:r>
              <w:rPr>
                <w:rFonts w:hint="default" w:ascii="Times New Roman" w:hAnsi="Times New Roman" w:eastAsia="黑体" w:cs="Times New Roman"/>
                <w:snapToGrid w:val="0"/>
                <w:color w:val="auto"/>
                <w:spacing w:val="-5"/>
                <w:sz w:val="24"/>
                <w:szCs w:val="24"/>
                <w:lang w:eastAsia="en-US"/>
              </w:rPr>
              <w:t>级别</w:t>
            </w:r>
          </w:p>
        </w:tc>
      </w:tr>
      <w:tr w14:paraId="7DA50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1" w:hRule="atLeast"/>
          <w:jc w:val="center"/>
        </w:trPr>
        <w:tc>
          <w:tcPr>
            <w:tcW w:w="1092" w:type="dxa"/>
            <w:shd w:val="clear" w:color="auto" w:fill="auto"/>
            <w:vAlign w:val="center"/>
          </w:tcPr>
          <w:p w14:paraId="44560EE4">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rPr>
            </w:pPr>
            <w:r>
              <w:rPr>
                <w:rFonts w:hint="default" w:ascii="Times New Roman" w:hAnsi="Times New Roman" w:eastAsia="宋体" w:cs="Times New Roman"/>
                <w:snapToGrid w:val="0"/>
                <w:color w:val="auto"/>
                <w:spacing w:val="-2"/>
                <w:position w:val="1"/>
                <w:sz w:val="24"/>
                <w:szCs w:val="24"/>
                <w:lang w:val="en-US" w:eastAsia="zh-CN"/>
              </w:rPr>
              <w:t>1</w:t>
            </w:r>
          </w:p>
        </w:tc>
        <w:tc>
          <w:tcPr>
            <w:tcW w:w="1334" w:type="dxa"/>
            <w:shd w:val="clear" w:color="auto" w:fill="auto"/>
            <w:vAlign w:val="center"/>
          </w:tcPr>
          <w:p w14:paraId="20AF055F">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rPr>
            </w:pPr>
            <w:r>
              <w:rPr>
                <w:rFonts w:hint="default" w:ascii="Times New Roman" w:hAnsi="Times New Roman" w:eastAsia="宋体" w:cs="Times New Roman"/>
                <w:snapToGrid w:val="0"/>
                <w:color w:val="auto"/>
                <w:spacing w:val="-2"/>
                <w:position w:val="1"/>
                <w:sz w:val="24"/>
                <w:szCs w:val="24"/>
                <w:lang w:val="en-US" w:eastAsia="zh-CN"/>
              </w:rPr>
              <w:t>2025</w:t>
            </w:r>
          </w:p>
        </w:tc>
        <w:tc>
          <w:tcPr>
            <w:tcW w:w="5689" w:type="dxa"/>
            <w:shd w:val="clear" w:color="auto" w:fill="auto"/>
            <w:vAlign w:val="center"/>
          </w:tcPr>
          <w:p w14:paraId="23BA0466">
            <w:pPr>
              <w:pageBreakBefore w:val="0"/>
              <w:kinsoku w:val="0"/>
              <w:wordWrap/>
              <w:overflowPunct/>
              <w:topLinePunct w:val="0"/>
              <w:autoSpaceDE w:val="0"/>
              <w:autoSpaceDN w:val="0"/>
              <w:bidi w:val="0"/>
              <w:adjustRightInd w:val="0"/>
              <w:snapToGrid w:val="0"/>
              <w:spacing w:line="223" w:lineRule="auto"/>
              <w:ind w:left="0" w:leftChars="0" w:firstLine="472" w:firstLineChars="200"/>
              <w:jc w:val="center"/>
              <w:textAlignment w:val="baseline"/>
              <w:rPr>
                <w:rFonts w:hint="default" w:ascii="Times New Roman" w:hAnsi="Times New Roman" w:eastAsia="宋体" w:cs="Times New Roman"/>
                <w:snapToGrid w:val="0"/>
                <w:color w:val="auto"/>
                <w:spacing w:val="-2"/>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国家生态文明建设示范区</w:t>
            </w:r>
          </w:p>
        </w:tc>
        <w:tc>
          <w:tcPr>
            <w:tcW w:w="1336" w:type="dxa"/>
            <w:shd w:val="clear" w:color="auto" w:fill="auto"/>
            <w:vAlign w:val="center"/>
          </w:tcPr>
          <w:p w14:paraId="22CC415C">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宋体" w:cs="Times New Roman"/>
                <w:snapToGrid w:val="0"/>
                <w:color w:val="auto"/>
                <w:spacing w:val="-14"/>
                <w:sz w:val="24"/>
                <w:szCs w:val="24"/>
                <w:lang w:val="en-US" w:eastAsia="en-US" w:bidi="ar-SA"/>
              </w:rPr>
            </w:pPr>
            <w:r>
              <w:rPr>
                <w:rFonts w:hint="default" w:ascii="Times New Roman" w:hAnsi="Times New Roman" w:eastAsia="宋体" w:cs="Times New Roman"/>
                <w:snapToGrid w:val="0"/>
                <w:color w:val="auto"/>
                <w:spacing w:val="-14"/>
                <w:sz w:val="24"/>
                <w:szCs w:val="24"/>
                <w:lang w:val="en-US" w:eastAsia="en-US" w:bidi="ar-SA"/>
              </w:rPr>
              <w:t>国家级</w:t>
            </w:r>
          </w:p>
        </w:tc>
      </w:tr>
      <w:tr w14:paraId="462F6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jc w:val="center"/>
        </w:trPr>
        <w:tc>
          <w:tcPr>
            <w:tcW w:w="1092" w:type="dxa"/>
            <w:shd w:val="clear" w:color="auto" w:fill="F1F1F1" w:themeFill="background1" w:themeFillShade="F2"/>
            <w:vAlign w:val="center"/>
          </w:tcPr>
          <w:p w14:paraId="49306B3D">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rPr>
            </w:pPr>
            <w:r>
              <w:rPr>
                <w:rFonts w:hint="default" w:ascii="Times New Roman" w:hAnsi="Times New Roman" w:eastAsia="宋体" w:cs="Times New Roman"/>
                <w:snapToGrid w:val="0"/>
                <w:color w:val="auto"/>
                <w:spacing w:val="-2"/>
                <w:position w:val="1"/>
                <w:sz w:val="24"/>
                <w:szCs w:val="24"/>
                <w:lang w:val="en-US" w:eastAsia="zh-CN"/>
              </w:rPr>
              <w:t>2</w:t>
            </w:r>
          </w:p>
        </w:tc>
        <w:tc>
          <w:tcPr>
            <w:tcW w:w="1334" w:type="dxa"/>
            <w:shd w:val="clear" w:color="auto" w:fill="F1F1F1" w:themeFill="background1" w:themeFillShade="F2"/>
            <w:vAlign w:val="center"/>
          </w:tcPr>
          <w:p w14:paraId="240F3434">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z w:val="24"/>
                <w:szCs w:val="24"/>
                <w:lang w:val="en-US" w:eastAsia="en-US" w:bidi="ar-SA"/>
              </w:rPr>
            </w:pPr>
            <w:r>
              <w:rPr>
                <w:rFonts w:hint="default" w:ascii="Times New Roman" w:hAnsi="Times New Roman" w:eastAsia="Times New Roman" w:cs="Times New Roman"/>
                <w:snapToGrid w:val="0"/>
                <w:color w:val="auto"/>
                <w:spacing w:val="-2"/>
                <w:position w:val="1"/>
                <w:sz w:val="24"/>
                <w:szCs w:val="24"/>
                <w:lang w:eastAsia="en-US"/>
              </w:rPr>
              <w:t>2024</w:t>
            </w:r>
          </w:p>
        </w:tc>
        <w:tc>
          <w:tcPr>
            <w:tcW w:w="5689" w:type="dxa"/>
            <w:shd w:val="clear" w:color="auto" w:fill="F1F1F1" w:themeFill="background1" w:themeFillShade="F2"/>
            <w:vAlign w:val="center"/>
          </w:tcPr>
          <w:p w14:paraId="3DF82CF4">
            <w:pPr>
              <w:pageBreakBefore w:val="0"/>
              <w:kinsoku w:val="0"/>
              <w:wordWrap/>
              <w:overflowPunct/>
              <w:topLinePunct w:val="0"/>
              <w:autoSpaceDE w:val="0"/>
              <w:autoSpaceDN w:val="0"/>
              <w:bidi w:val="0"/>
              <w:adjustRightInd w:val="0"/>
              <w:snapToGrid w:val="0"/>
              <w:spacing w:line="223" w:lineRule="auto"/>
              <w:ind w:left="0" w:leftChars="0" w:firstLine="472"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全国现代设施农业创新引领区</w:t>
            </w:r>
          </w:p>
        </w:tc>
        <w:tc>
          <w:tcPr>
            <w:tcW w:w="1336" w:type="dxa"/>
            <w:shd w:val="clear" w:color="auto" w:fill="F1F1F1" w:themeFill="background1" w:themeFillShade="F2"/>
            <w:vAlign w:val="center"/>
          </w:tcPr>
          <w:p w14:paraId="28B189F8">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4"/>
                <w:sz w:val="24"/>
                <w:szCs w:val="24"/>
                <w:lang w:val="en-US" w:eastAsia="en-US" w:bidi="ar-SA"/>
              </w:rPr>
              <w:t>国家级</w:t>
            </w:r>
          </w:p>
        </w:tc>
      </w:tr>
      <w:tr w14:paraId="46D7FE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1" w:hRule="atLeast"/>
          <w:jc w:val="center"/>
        </w:trPr>
        <w:tc>
          <w:tcPr>
            <w:tcW w:w="1092" w:type="dxa"/>
            <w:shd w:val="clear" w:color="auto" w:fill="auto"/>
            <w:vAlign w:val="center"/>
          </w:tcPr>
          <w:p w14:paraId="15C827F7">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rPr>
            </w:pPr>
            <w:r>
              <w:rPr>
                <w:rFonts w:hint="default" w:ascii="Times New Roman" w:hAnsi="Times New Roman" w:eastAsia="宋体" w:cs="Times New Roman"/>
                <w:snapToGrid w:val="0"/>
                <w:color w:val="auto"/>
                <w:spacing w:val="-2"/>
                <w:position w:val="1"/>
                <w:sz w:val="24"/>
                <w:szCs w:val="24"/>
                <w:lang w:val="en-US" w:eastAsia="zh-CN"/>
              </w:rPr>
              <w:t>3</w:t>
            </w:r>
          </w:p>
        </w:tc>
        <w:tc>
          <w:tcPr>
            <w:tcW w:w="1334" w:type="dxa"/>
            <w:shd w:val="clear" w:color="auto" w:fill="auto"/>
            <w:vAlign w:val="center"/>
          </w:tcPr>
          <w:p w14:paraId="0E1ADE95">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z w:val="24"/>
                <w:szCs w:val="24"/>
                <w:lang w:val="en-US" w:eastAsia="en-US" w:bidi="ar-SA"/>
              </w:rPr>
            </w:pPr>
            <w:r>
              <w:rPr>
                <w:rFonts w:hint="default" w:ascii="Times New Roman" w:hAnsi="Times New Roman" w:eastAsia="Times New Roman" w:cs="Times New Roman"/>
                <w:snapToGrid w:val="0"/>
                <w:color w:val="auto"/>
                <w:spacing w:val="-2"/>
                <w:position w:val="1"/>
                <w:sz w:val="24"/>
                <w:szCs w:val="24"/>
                <w:lang w:eastAsia="en-US"/>
              </w:rPr>
              <w:t>2024</w:t>
            </w:r>
          </w:p>
        </w:tc>
        <w:tc>
          <w:tcPr>
            <w:tcW w:w="5689" w:type="dxa"/>
            <w:shd w:val="clear" w:color="auto" w:fill="auto"/>
            <w:vAlign w:val="center"/>
          </w:tcPr>
          <w:p w14:paraId="47B16294">
            <w:pPr>
              <w:pageBreakBefore w:val="0"/>
              <w:kinsoku w:val="0"/>
              <w:wordWrap/>
              <w:overflowPunct/>
              <w:topLinePunct w:val="0"/>
              <w:autoSpaceDE w:val="0"/>
              <w:autoSpaceDN w:val="0"/>
              <w:bidi w:val="0"/>
              <w:adjustRightInd w:val="0"/>
              <w:snapToGrid w:val="0"/>
              <w:spacing w:line="223" w:lineRule="auto"/>
              <w:ind w:left="0" w:leftChars="0" w:firstLine="472"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全国义务教育优质均衡发展区</w:t>
            </w:r>
          </w:p>
        </w:tc>
        <w:tc>
          <w:tcPr>
            <w:tcW w:w="1336" w:type="dxa"/>
            <w:shd w:val="clear" w:color="auto" w:fill="auto"/>
            <w:vAlign w:val="center"/>
          </w:tcPr>
          <w:p w14:paraId="2CBD4E91">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4"/>
                <w:sz w:val="24"/>
                <w:szCs w:val="24"/>
                <w:lang w:val="en-US" w:eastAsia="en-US" w:bidi="ar-SA"/>
              </w:rPr>
              <w:t>国家级</w:t>
            </w:r>
          </w:p>
        </w:tc>
      </w:tr>
      <w:tr w14:paraId="04E1D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1" w:hRule="atLeast"/>
          <w:jc w:val="center"/>
        </w:trPr>
        <w:tc>
          <w:tcPr>
            <w:tcW w:w="1092" w:type="dxa"/>
            <w:shd w:val="clear" w:color="auto" w:fill="F1F1F1" w:themeFill="background1" w:themeFillShade="F2"/>
            <w:vAlign w:val="center"/>
          </w:tcPr>
          <w:p w14:paraId="2E162551">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4</w:t>
            </w:r>
          </w:p>
        </w:tc>
        <w:tc>
          <w:tcPr>
            <w:tcW w:w="1334" w:type="dxa"/>
            <w:shd w:val="clear" w:color="auto" w:fill="F1F1F1" w:themeFill="background1" w:themeFillShade="F2"/>
            <w:vAlign w:val="center"/>
          </w:tcPr>
          <w:p w14:paraId="71F44DEE">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z w:val="24"/>
                <w:szCs w:val="24"/>
                <w:lang w:val="en-US" w:eastAsia="en-US" w:bidi="ar-SA"/>
              </w:rPr>
            </w:pPr>
            <w:r>
              <w:rPr>
                <w:rFonts w:hint="default" w:ascii="Times New Roman" w:hAnsi="Times New Roman" w:eastAsia="Times New Roman" w:cs="Times New Roman"/>
                <w:snapToGrid w:val="0"/>
                <w:color w:val="auto"/>
                <w:spacing w:val="-2"/>
                <w:position w:val="1"/>
                <w:sz w:val="24"/>
                <w:szCs w:val="24"/>
                <w:lang w:eastAsia="en-US"/>
              </w:rPr>
              <w:t>2024</w:t>
            </w:r>
          </w:p>
        </w:tc>
        <w:tc>
          <w:tcPr>
            <w:tcW w:w="5689" w:type="dxa"/>
            <w:shd w:val="clear" w:color="auto" w:fill="F1F1F1" w:themeFill="background1" w:themeFillShade="F2"/>
            <w:vAlign w:val="center"/>
          </w:tcPr>
          <w:p w14:paraId="33A5DEBC">
            <w:pPr>
              <w:pageBreakBefore w:val="0"/>
              <w:kinsoku w:val="0"/>
              <w:wordWrap/>
              <w:overflowPunct/>
              <w:topLinePunct w:val="0"/>
              <w:autoSpaceDE w:val="0"/>
              <w:autoSpaceDN w:val="0"/>
              <w:bidi w:val="0"/>
              <w:adjustRightInd w:val="0"/>
              <w:snapToGrid w:val="0"/>
              <w:spacing w:line="223" w:lineRule="auto"/>
              <w:ind w:left="0" w:leftChars="0" w:firstLine="472"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全国科学教育实验试点区</w:t>
            </w:r>
          </w:p>
        </w:tc>
        <w:tc>
          <w:tcPr>
            <w:tcW w:w="1336" w:type="dxa"/>
            <w:shd w:val="clear" w:color="auto" w:fill="F1F1F1" w:themeFill="background1" w:themeFillShade="F2"/>
            <w:vAlign w:val="center"/>
          </w:tcPr>
          <w:p w14:paraId="7B554906">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4"/>
                <w:sz w:val="24"/>
                <w:szCs w:val="24"/>
                <w:lang w:val="en-US" w:eastAsia="en-US" w:bidi="ar-SA"/>
              </w:rPr>
              <w:t>国家级</w:t>
            </w:r>
          </w:p>
        </w:tc>
      </w:tr>
      <w:tr w14:paraId="6BDCE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jc w:val="center"/>
        </w:trPr>
        <w:tc>
          <w:tcPr>
            <w:tcW w:w="1092" w:type="dxa"/>
            <w:shd w:val="clear" w:color="auto" w:fill="auto"/>
            <w:vAlign w:val="center"/>
          </w:tcPr>
          <w:p w14:paraId="2791ECE9">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5</w:t>
            </w:r>
          </w:p>
        </w:tc>
        <w:tc>
          <w:tcPr>
            <w:tcW w:w="1334" w:type="dxa"/>
            <w:shd w:val="clear" w:color="auto" w:fill="auto"/>
            <w:vAlign w:val="center"/>
          </w:tcPr>
          <w:p w14:paraId="409E5B71">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pacing w:val="-2"/>
                <w:position w:val="1"/>
                <w:sz w:val="24"/>
                <w:szCs w:val="24"/>
                <w:lang w:eastAsia="en-US"/>
              </w:rPr>
            </w:pPr>
            <w:r>
              <w:rPr>
                <w:rFonts w:hint="default" w:ascii="Times New Roman" w:hAnsi="Times New Roman" w:eastAsia="Times New Roman" w:cs="Times New Roman"/>
                <w:snapToGrid w:val="0"/>
                <w:color w:val="auto"/>
                <w:spacing w:val="-2"/>
                <w:position w:val="1"/>
                <w:sz w:val="24"/>
                <w:szCs w:val="24"/>
                <w:lang w:eastAsia="en-US"/>
              </w:rPr>
              <w:t>2023</w:t>
            </w:r>
          </w:p>
        </w:tc>
        <w:tc>
          <w:tcPr>
            <w:tcW w:w="5689" w:type="dxa"/>
            <w:shd w:val="clear" w:color="auto" w:fill="auto"/>
            <w:vAlign w:val="center"/>
          </w:tcPr>
          <w:p w14:paraId="40AF97EE">
            <w:pPr>
              <w:pageBreakBefore w:val="0"/>
              <w:kinsoku w:val="0"/>
              <w:wordWrap/>
              <w:overflowPunct/>
              <w:topLinePunct w:val="0"/>
              <w:autoSpaceDE w:val="0"/>
              <w:autoSpaceDN w:val="0"/>
              <w:bidi w:val="0"/>
              <w:adjustRightInd w:val="0"/>
              <w:snapToGrid w:val="0"/>
              <w:spacing w:line="223" w:lineRule="auto"/>
              <w:ind w:left="0" w:leftChars="0" w:firstLine="472" w:firstLineChars="200"/>
              <w:jc w:val="center"/>
              <w:textAlignment w:val="baseline"/>
              <w:rPr>
                <w:rFonts w:hint="default" w:ascii="Times New Roman" w:hAnsi="Times New Roman" w:eastAsia="宋体" w:cs="Times New Roman"/>
                <w:snapToGrid w:val="0"/>
                <w:color w:val="auto"/>
                <w:spacing w:val="-2"/>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国家水土保持示范县</w:t>
            </w:r>
          </w:p>
        </w:tc>
        <w:tc>
          <w:tcPr>
            <w:tcW w:w="1336" w:type="dxa"/>
            <w:shd w:val="clear" w:color="auto" w:fill="auto"/>
            <w:vAlign w:val="center"/>
          </w:tcPr>
          <w:p w14:paraId="1557D5C3">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宋体" w:cs="Times New Roman"/>
                <w:snapToGrid w:val="0"/>
                <w:color w:val="auto"/>
                <w:spacing w:val="-14"/>
                <w:sz w:val="24"/>
                <w:szCs w:val="24"/>
                <w:lang w:val="en-US" w:eastAsia="en-US" w:bidi="ar-SA"/>
              </w:rPr>
            </w:pPr>
            <w:r>
              <w:rPr>
                <w:rFonts w:hint="default" w:ascii="Times New Roman" w:hAnsi="Times New Roman" w:eastAsia="宋体" w:cs="Times New Roman"/>
                <w:snapToGrid w:val="0"/>
                <w:color w:val="auto"/>
                <w:spacing w:val="-14"/>
                <w:sz w:val="24"/>
                <w:szCs w:val="24"/>
                <w:lang w:val="en-US" w:eastAsia="en-US" w:bidi="ar-SA"/>
              </w:rPr>
              <w:t>国家级</w:t>
            </w:r>
          </w:p>
        </w:tc>
      </w:tr>
      <w:tr w14:paraId="3A98C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1092" w:type="dxa"/>
            <w:shd w:val="clear" w:color="auto" w:fill="F1F1F1" w:themeFill="background1" w:themeFillShade="F2"/>
            <w:vAlign w:val="center"/>
          </w:tcPr>
          <w:p w14:paraId="08E18B9A">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6</w:t>
            </w:r>
          </w:p>
        </w:tc>
        <w:tc>
          <w:tcPr>
            <w:tcW w:w="1334" w:type="dxa"/>
            <w:shd w:val="clear" w:color="auto" w:fill="F1F1F1" w:themeFill="background1" w:themeFillShade="F2"/>
            <w:vAlign w:val="center"/>
          </w:tcPr>
          <w:p w14:paraId="5295D3CF">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z w:val="24"/>
                <w:szCs w:val="24"/>
                <w:lang w:val="en-US" w:eastAsia="en-US" w:bidi="ar-SA"/>
              </w:rPr>
            </w:pPr>
            <w:r>
              <w:rPr>
                <w:rFonts w:hint="default" w:ascii="Times New Roman" w:hAnsi="Times New Roman" w:eastAsia="Times New Roman" w:cs="Times New Roman"/>
                <w:snapToGrid w:val="0"/>
                <w:color w:val="auto"/>
                <w:spacing w:val="-2"/>
                <w:position w:val="1"/>
                <w:sz w:val="24"/>
                <w:szCs w:val="24"/>
                <w:lang w:eastAsia="en-US"/>
              </w:rPr>
              <w:t>2023</w:t>
            </w:r>
          </w:p>
        </w:tc>
        <w:tc>
          <w:tcPr>
            <w:tcW w:w="5689" w:type="dxa"/>
            <w:shd w:val="clear" w:color="auto" w:fill="F1F1F1" w:themeFill="background1" w:themeFillShade="F2"/>
            <w:vAlign w:val="center"/>
          </w:tcPr>
          <w:p w14:paraId="50949108">
            <w:pPr>
              <w:pageBreakBefore w:val="0"/>
              <w:kinsoku w:val="0"/>
              <w:wordWrap/>
              <w:overflowPunct/>
              <w:topLinePunct w:val="0"/>
              <w:autoSpaceDE w:val="0"/>
              <w:autoSpaceDN w:val="0"/>
              <w:bidi w:val="0"/>
              <w:adjustRightInd w:val="0"/>
              <w:snapToGrid w:val="0"/>
              <w:spacing w:line="222" w:lineRule="auto"/>
              <w:ind w:left="0" w:leftChars="0" w:firstLine="472"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全国农村综合改革试点试验区</w:t>
            </w:r>
          </w:p>
        </w:tc>
        <w:tc>
          <w:tcPr>
            <w:tcW w:w="1336" w:type="dxa"/>
            <w:shd w:val="clear" w:color="auto" w:fill="F1F1F1" w:themeFill="background1" w:themeFillShade="F2"/>
            <w:vAlign w:val="center"/>
          </w:tcPr>
          <w:p w14:paraId="18B447D9">
            <w:pPr>
              <w:pageBreakBefore w:val="0"/>
              <w:kinsoku w:val="0"/>
              <w:wordWrap/>
              <w:overflowPunct/>
              <w:topLinePunct w:val="0"/>
              <w:autoSpaceDE w:val="0"/>
              <w:autoSpaceDN w:val="0"/>
              <w:bidi w:val="0"/>
              <w:adjustRightInd w:val="0"/>
              <w:snapToGrid w:val="0"/>
              <w:spacing w:line="222"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4"/>
                <w:sz w:val="24"/>
                <w:szCs w:val="24"/>
                <w:lang w:val="en-US" w:eastAsia="en-US" w:bidi="ar-SA"/>
              </w:rPr>
              <w:t>国家级</w:t>
            </w:r>
          </w:p>
        </w:tc>
      </w:tr>
      <w:tr w14:paraId="2CF6F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1092" w:type="dxa"/>
            <w:shd w:val="clear" w:color="auto" w:fill="auto"/>
            <w:vAlign w:val="center"/>
          </w:tcPr>
          <w:p w14:paraId="4FC086DA">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7</w:t>
            </w:r>
          </w:p>
        </w:tc>
        <w:tc>
          <w:tcPr>
            <w:tcW w:w="1334" w:type="dxa"/>
            <w:shd w:val="clear" w:color="auto" w:fill="auto"/>
            <w:vAlign w:val="center"/>
          </w:tcPr>
          <w:p w14:paraId="23A8D979">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z w:val="24"/>
                <w:szCs w:val="24"/>
                <w:lang w:val="en-US" w:eastAsia="en-US" w:bidi="ar-SA"/>
              </w:rPr>
            </w:pPr>
            <w:r>
              <w:rPr>
                <w:rFonts w:hint="default" w:ascii="Times New Roman" w:hAnsi="Times New Roman" w:eastAsia="Times New Roman" w:cs="Times New Roman"/>
                <w:snapToGrid w:val="0"/>
                <w:color w:val="auto"/>
                <w:spacing w:val="-2"/>
                <w:position w:val="1"/>
                <w:sz w:val="24"/>
                <w:szCs w:val="24"/>
                <w:lang w:eastAsia="en-US"/>
              </w:rPr>
              <w:t>2023</w:t>
            </w:r>
          </w:p>
        </w:tc>
        <w:tc>
          <w:tcPr>
            <w:tcW w:w="5689" w:type="dxa"/>
            <w:shd w:val="clear" w:color="auto" w:fill="auto"/>
            <w:vAlign w:val="center"/>
          </w:tcPr>
          <w:p w14:paraId="1D676479">
            <w:pPr>
              <w:pageBreakBefore w:val="0"/>
              <w:kinsoku w:val="0"/>
              <w:wordWrap/>
              <w:overflowPunct/>
              <w:topLinePunct w:val="0"/>
              <w:autoSpaceDE w:val="0"/>
              <w:autoSpaceDN w:val="0"/>
              <w:bidi w:val="0"/>
              <w:adjustRightInd w:val="0"/>
              <w:snapToGrid w:val="0"/>
              <w:spacing w:line="224" w:lineRule="auto"/>
              <w:ind w:left="0" w:leftChars="0" w:firstLine="468"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3"/>
                <w:sz w:val="24"/>
                <w:szCs w:val="24"/>
                <w:lang w:val="en-US" w:eastAsia="zh-CN" w:bidi="ar-SA"/>
              </w:rPr>
              <w:t>国家农业绿色发展先行区创建县</w:t>
            </w:r>
          </w:p>
        </w:tc>
        <w:tc>
          <w:tcPr>
            <w:tcW w:w="1336" w:type="dxa"/>
            <w:shd w:val="clear" w:color="auto" w:fill="auto"/>
            <w:vAlign w:val="center"/>
          </w:tcPr>
          <w:p w14:paraId="7C2B8E18">
            <w:pPr>
              <w:pageBreakBefore w:val="0"/>
              <w:kinsoku w:val="0"/>
              <w:wordWrap/>
              <w:overflowPunct/>
              <w:topLinePunct w:val="0"/>
              <w:autoSpaceDE w:val="0"/>
              <w:autoSpaceDN w:val="0"/>
              <w:bidi w:val="0"/>
              <w:adjustRightInd w:val="0"/>
              <w:snapToGrid w:val="0"/>
              <w:spacing w:line="224"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4"/>
                <w:sz w:val="24"/>
                <w:szCs w:val="24"/>
                <w:lang w:val="en-US" w:eastAsia="en-US" w:bidi="ar-SA"/>
              </w:rPr>
              <w:t>国家级</w:t>
            </w:r>
          </w:p>
        </w:tc>
      </w:tr>
      <w:tr w14:paraId="57055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1092" w:type="dxa"/>
            <w:shd w:val="clear" w:color="auto" w:fill="F1F1F1" w:themeFill="background1" w:themeFillShade="F2"/>
            <w:vAlign w:val="center"/>
          </w:tcPr>
          <w:p w14:paraId="76186D07">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8</w:t>
            </w:r>
          </w:p>
        </w:tc>
        <w:tc>
          <w:tcPr>
            <w:tcW w:w="1334" w:type="dxa"/>
            <w:shd w:val="clear" w:color="auto" w:fill="F1F1F1" w:themeFill="background1" w:themeFillShade="F2"/>
            <w:vAlign w:val="center"/>
          </w:tcPr>
          <w:p w14:paraId="66867B19">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z w:val="24"/>
                <w:szCs w:val="24"/>
                <w:lang w:val="en-US" w:eastAsia="en-US" w:bidi="ar-SA"/>
              </w:rPr>
            </w:pPr>
            <w:r>
              <w:rPr>
                <w:rFonts w:hint="default" w:ascii="Times New Roman" w:hAnsi="Times New Roman" w:eastAsia="Times New Roman" w:cs="Times New Roman"/>
                <w:snapToGrid w:val="0"/>
                <w:color w:val="auto"/>
                <w:spacing w:val="-2"/>
                <w:position w:val="1"/>
                <w:sz w:val="24"/>
                <w:szCs w:val="24"/>
                <w:lang w:eastAsia="en-US"/>
              </w:rPr>
              <w:t>2023</w:t>
            </w:r>
          </w:p>
        </w:tc>
        <w:tc>
          <w:tcPr>
            <w:tcW w:w="5689" w:type="dxa"/>
            <w:shd w:val="clear" w:color="auto" w:fill="F1F1F1" w:themeFill="background1" w:themeFillShade="F2"/>
            <w:vAlign w:val="center"/>
          </w:tcPr>
          <w:p w14:paraId="00AA6843">
            <w:pPr>
              <w:pageBreakBefore w:val="0"/>
              <w:kinsoku w:val="0"/>
              <w:wordWrap/>
              <w:overflowPunct/>
              <w:topLinePunct w:val="0"/>
              <w:autoSpaceDE w:val="0"/>
              <w:autoSpaceDN w:val="0"/>
              <w:bidi w:val="0"/>
              <w:adjustRightInd w:val="0"/>
              <w:snapToGrid w:val="0"/>
              <w:spacing w:line="223" w:lineRule="auto"/>
              <w:ind w:left="0" w:leftChars="0" w:firstLine="472"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sz w:val="24"/>
                <w:szCs w:val="24"/>
                <w:lang w:val="en-US" w:eastAsia="en-US" w:bidi="ar-SA"/>
              </w:rPr>
              <w:t>全国休闲农业重点县</w:t>
            </w:r>
          </w:p>
        </w:tc>
        <w:tc>
          <w:tcPr>
            <w:tcW w:w="1336" w:type="dxa"/>
            <w:shd w:val="clear" w:color="auto" w:fill="F1F1F1" w:themeFill="background1" w:themeFillShade="F2"/>
            <w:vAlign w:val="center"/>
          </w:tcPr>
          <w:p w14:paraId="718A2C42">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4"/>
                <w:sz w:val="24"/>
                <w:szCs w:val="24"/>
                <w:lang w:val="en-US" w:eastAsia="en-US" w:bidi="ar-SA"/>
              </w:rPr>
              <w:t>国家级</w:t>
            </w:r>
          </w:p>
        </w:tc>
      </w:tr>
      <w:tr w14:paraId="53EB9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1092" w:type="dxa"/>
            <w:shd w:val="clear" w:color="auto" w:fill="auto"/>
            <w:vAlign w:val="center"/>
          </w:tcPr>
          <w:p w14:paraId="44603946">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bidi="ar-SA"/>
              </w:rPr>
              <w:t>9</w:t>
            </w:r>
          </w:p>
        </w:tc>
        <w:tc>
          <w:tcPr>
            <w:tcW w:w="1334" w:type="dxa"/>
            <w:shd w:val="clear" w:color="auto" w:fill="auto"/>
            <w:vAlign w:val="center"/>
          </w:tcPr>
          <w:p w14:paraId="66277003">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z w:val="24"/>
                <w:szCs w:val="24"/>
                <w:lang w:val="en-US" w:eastAsia="en-US" w:bidi="ar-SA"/>
              </w:rPr>
            </w:pPr>
            <w:r>
              <w:rPr>
                <w:rFonts w:hint="default" w:ascii="Times New Roman" w:hAnsi="Times New Roman" w:eastAsia="Times New Roman" w:cs="Times New Roman"/>
                <w:snapToGrid w:val="0"/>
                <w:color w:val="auto"/>
                <w:spacing w:val="-2"/>
                <w:position w:val="1"/>
                <w:sz w:val="24"/>
                <w:szCs w:val="24"/>
                <w:lang w:eastAsia="en-US"/>
              </w:rPr>
              <w:t>2023</w:t>
            </w:r>
          </w:p>
        </w:tc>
        <w:tc>
          <w:tcPr>
            <w:tcW w:w="5689" w:type="dxa"/>
            <w:shd w:val="clear" w:color="auto" w:fill="auto"/>
            <w:vAlign w:val="center"/>
          </w:tcPr>
          <w:p w14:paraId="20695B21">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1"/>
                <w:sz w:val="24"/>
                <w:szCs w:val="24"/>
                <w:lang w:val="en-US" w:eastAsia="zh-CN" w:bidi="ar-SA"/>
              </w:rPr>
              <w:t>全国县域自然灾害综合风险普查成果应用试点单位</w:t>
            </w:r>
          </w:p>
        </w:tc>
        <w:tc>
          <w:tcPr>
            <w:tcW w:w="1336" w:type="dxa"/>
            <w:shd w:val="clear" w:color="auto" w:fill="auto"/>
            <w:vAlign w:val="center"/>
          </w:tcPr>
          <w:p w14:paraId="1650A30A">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4"/>
                <w:sz w:val="24"/>
                <w:szCs w:val="24"/>
                <w:lang w:val="en-US" w:eastAsia="en-US" w:bidi="ar-SA"/>
              </w:rPr>
              <w:t>国家级</w:t>
            </w:r>
          </w:p>
        </w:tc>
      </w:tr>
      <w:tr w14:paraId="16895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1092" w:type="dxa"/>
            <w:shd w:val="clear" w:color="auto" w:fill="F1F1F1" w:themeFill="background1" w:themeFillShade="F2"/>
            <w:vAlign w:val="center"/>
          </w:tcPr>
          <w:p w14:paraId="630A361A">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rPr>
            </w:pPr>
            <w:r>
              <w:rPr>
                <w:rFonts w:hint="default" w:ascii="Times New Roman" w:hAnsi="Times New Roman" w:eastAsia="宋体" w:cs="Times New Roman"/>
                <w:snapToGrid w:val="0"/>
                <w:color w:val="auto"/>
                <w:spacing w:val="-2"/>
                <w:position w:val="1"/>
                <w:sz w:val="24"/>
                <w:szCs w:val="24"/>
                <w:lang w:val="en-US" w:eastAsia="zh-CN"/>
              </w:rPr>
              <w:t>10</w:t>
            </w:r>
          </w:p>
        </w:tc>
        <w:tc>
          <w:tcPr>
            <w:tcW w:w="1334" w:type="dxa"/>
            <w:shd w:val="clear" w:color="auto" w:fill="F1F1F1" w:themeFill="background1" w:themeFillShade="F2"/>
            <w:vAlign w:val="center"/>
          </w:tcPr>
          <w:p w14:paraId="6E2C9317">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en-US"/>
              </w:rPr>
            </w:pPr>
            <w:r>
              <w:rPr>
                <w:rFonts w:hint="default" w:ascii="Times New Roman" w:hAnsi="Times New Roman" w:eastAsia="宋体" w:cs="Times New Roman"/>
                <w:snapToGrid w:val="0"/>
                <w:color w:val="auto"/>
                <w:spacing w:val="-2"/>
                <w:position w:val="1"/>
                <w:sz w:val="24"/>
                <w:szCs w:val="24"/>
                <w:lang w:val="en-US" w:eastAsia="en-US"/>
              </w:rPr>
              <w:t>2023</w:t>
            </w:r>
          </w:p>
        </w:tc>
        <w:tc>
          <w:tcPr>
            <w:tcW w:w="5689" w:type="dxa"/>
            <w:shd w:val="clear" w:color="auto" w:fill="F1F1F1" w:themeFill="background1" w:themeFillShade="F2"/>
            <w:vAlign w:val="center"/>
          </w:tcPr>
          <w:p w14:paraId="2BE57AF4">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rPr>
            </w:pPr>
            <w:r>
              <w:rPr>
                <w:rFonts w:hint="default" w:ascii="Times New Roman" w:hAnsi="Times New Roman" w:eastAsia="宋体" w:cs="Times New Roman"/>
                <w:snapToGrid w:val="0"/>
                <w:color w:val="auto"/>
                <w:spacing w:val="-2"/>
                <w:position w:val="1"/>
                <w:sz w:val="24"/>
                <w:szCs w:val="24"/>
                <w:lang w:val="en-US" w:eastAsia="zh-CN"/>
              </w:rPr>
              <w:t>全国首批文化产业赋能乡村振兴试点</w:t>
            </w:r>
          </w:p>
        </w:tc>
        <w:tc>
          <w:tcPr>
            <w:tcW w:w="1336" w:type="dxa"/>
            <w:shd w:val="clear" w:color="auto" w:fill="F1F1F1" w:themeFill="background1" w:themeFillShade="F2"/>
            <w:vAlign w:val="center"/>
          </w:tcPr>
          <w:p w14:paraId="76367296">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en-US"/>
              </w:rPr>
            </w:pPr>
            <w:r>
              <w:rPr>
                <w:rFonts w:hint="default" w:ascii="Times New Roman" w:hAnsi="Times New Roman" w:eastAsia="宋体" w:cs="Times New Roman"/>
                <w:snapToGrid w:val="0"/>
                <w:color w:val="auto"/>
                <w:spacing w:val="-2"/>
                <w:position w:val="1"/>
                <w:sz w:val="24"/>
                <w:szCs w:val="24"/>
                <w:lang w:val="en-US" w:eastAsia="en-US"/>
              </w:rPr>
              <w:t>国家级</w:t>
            </w:r>
          </w:p>
        </w:tc>
      </w:tr>
      <w:tr w14:paraId="3BBD8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1092" w:type="dxa"/>
            <w:shd w:val="clear" w:color="auto" w:fill="auto"/>
            <w:vAlign w:val="center"/>
          </w:tcPr>
          <w:p w14:paraId="6A3AE9BA">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11</w:t>
            </w:r>
          </w:p>
        </w:tc>
        <w:tc>
          <w:tcPr>
            <w:tcW w:w="1334" w:type="dxa"/>
            <w:shd w:val="clear" w:color="auto" w:fill="auto"/>
            <w:vAlign w:val="center"/>
          </w:tcPr>
          <w:p w14:paraId="1AA50655">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z w:val="24"/>
                <w:szCs w:val="24"/>
                <w:lang w:val="en-US" w:eastAsia="en-US" w:bidi="ar-SA"/>
              </w:rPr>
            </w:pPr>
            <w:r>
              <w:rPr>
                <w:rFonts w:hint="default" w:ascii="Times New Roman" w:hAnsi="Times New Roman" w:eastAsia="Times New Roman" w:cs="Times New Roman"/>
                <w:snapToGrid w:val="0"/>
                <w:color w:val="auto"/>
                <w:spacing w:val="-2"/>
                <w:position w:val="1"/>
                <w:sz w:val="24"/>
                <w:szCs w:val="24"/>
                <w:lang w:eastAsia="en-US"/>
              </w:rPr>
              <w:t>2022</w:t>
            </w:r>
          </w:p>
        </w:tc>
        <w:tc>
          <w:tcPr>
            <w:tcW w:w="5689" w:type="dxa"/>
            <w:shd w:val="clear" w:color="auto" w:fill="auto"/>
            <w:vAlign w:val="center"/>
          </w:tcPr>
          <w:p w14:paraId="628446AA">
            <w:pPr>
              <w:pageBreakBefore w:val="0"/>
              <w:kinsoku w:val="0"/>
              <w:wordWrap/>
              <w:overflowPunct/>
              <w:topLinePunct w:val="0"/>
              <w:autoSpaceDE w:val="0"/>
              <w:autoSpaceDN w:val="0"/>
              <w:bidi w:val="0"/>
              <w:adjustRightInd w:val="0"/>
              <w:snapToGrid w:val="0"/>
              <w:spacing w:line="224"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1"/>
                <w:sz w:val="24"/>
                <w:szCs w:val="24"/>
                <w:lang w:val="en-US" w:eastAsia="zh-CN" w:bidi="ar-SA"/>
              </w:rPr>
              <w:t>全国病死猪无害化处理与保险联动机制建设试点县</w:t>
            </w:r>
          </w:p>
        </w:tc>
        <w:tc>
          <w:tcPr>
            <w:tcW w:w="1336" w:type="dxa"/>
            <w:shd w:val="clear" w:color="auto" w:fill="auto"/>
            <w:vAlign w:val="center"/>
          </w:tcPr>
          <w:p w14:paraId="7FD7A967">
            <w:pPr>
              <w:pageBreakBefore w:val="0"/>
              <w:kinsoku w:val="0"/>
              <w:wordWrap/>
              <w:overflowPunct/>
              <w:topLinePunct w:val="0"/>
              <w:autoSpaceDE w:val="0"/>
              <w:autoSpaceDN w:val="0"/>
              <w:bidi w:val="0"/>
              <w:adjustRightInd w:val="0"/>
              <w:snapToGrid w:val="0"/>
              <w:spacing w:line="224"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4"/>
                <w:sz w:val="24"/>
                <w:szCs w:val="24"/>
                <w:lang w:val="en-US" w:eastAsia="en-US" w:bidi="ar-SA"/>
              </w:rPr>
              <w:t>国家级</w:t>
            </w:r>
          </w:p>
        </w:tc>
      </w:tr>
      <w:tr w14:paraId="3BAE6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1092" w:type="dxa"/>
            <w:shd w:val="clear" w:color="auto" w:fill="F1F1F1" w:themeFill="background1" w:themeFillShade="F2"/>
            <w:vAlign w:val="center"/>
          </w:tcPr>
          <w:p w14:paraId="415ACCE2">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12</w:t>
            </w:r>
          </w:p>
        </w:tc>
        <w:tc>
          <w:tcPr>
            <w:tcW w:w="1334" w:type="dxa"/>
            <w:shd w:val="clear" w:color="auto" w:fill="F1F1F1" w:themeFill="background1" w:themeFillShade="F2"/>
            <w:vAlign w:val="center"/>
          </w:tcPr>
          <w:p w14:paraId="7A67F705">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en-US"/>
              </w:rPr>
            </w:pPr>
            <w:r>
              <w:rPr>
                <w:rFonts w:hint="default" w:ascii="Times New Roman" w:hAnsi="Times New Roman" w:eastAsia="宋体" w:cs="Times New Roman"/>
                <w:snapToGrid w:val="0"/>
                <w:color w:val="auto"/>
                <w:spacing w:val="-2"/>
                <w:position w:val="1"/>
                <w:sz w:val="24"/>
                <w:szCs w:val="24"/>
                <w:lang w:val="en-US" w:eastAsia="en-US"/>
              </w:rPr>
              <w:t>2021</w:t>
            </w:r>
          </w:p>
        </w:tc>
        <w:tc>
          <w:tcPr>
            <w:tcW w:w="5689" w:type="dxa"/>
            <w:shd w:val="clear" w:color="auto" w:fill="F1F1F1" w:themeFill="background1" w:themeFillShade="F2"/>
            <w:vAlign w:val="center"/>
          </w:tcPr>
          <w:p w14:paraId="07E79581">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en-US"/>
              </w:rPr>
            </w:pPr>
            <w:r>
              <w:rPr>
                <w:rFonts w:hint="default" w:ascii="Times New Roman" w:hAnsi="Times New Roman" w:eastAsia="宋体" w:cs="Times New Roman"/>
                <w:snapToGrid w:val="0"/>
                <w:color w:val="auto"/>
                <w:spacing w:val="-2"/>
                <w:position w:val="1"/>
                <w:sz w:val="24"/>
                <w:szCs w:val="24"/>
                <w:lang w:val="en-US" w:eastAsia="zh-CN"/>
              </w:rPr>
              <w:t>全国农业生产社会化服务创新试点县</w:t>
            </w:r>
          </w:p>
        </w:tc>
        <w:tc>
          <w:tcPr>
            <w:tcW w:w="1336" w:type="dxa"/>
            <w:shd w:val="clear" w:color="auto" w:fill="F1F1F1" w:themeFill="background1" w:themeFillShade="F2"/>
            <w:vAlign w:val="center"/>
          </w:tcPr>
          <w:p w14:paraId="3C530DDF">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en-US"/>
              </w:rPr>
            </w:pPr>
            <w:r>
              <w:rPr>
                <w:rFonts w:hint="default" w:ascii="Times New Roman" w:hAnsi="Times New Roman" w:eastAsia="宋体" w:cs="Times New Roman"/>
                <w:snapToGrid w:val="0"/>
                <w:color w:val="auto"/>
                <w:spacing w:val="-2"/>
                <w:position w:val="1"/>
                <w:sz w:val="24"/>
                <w:szCs w:val="24"/>
                <w:lang w:val="en-US" w:eastAsia="en-US"/>
              </w:rPr>
              <w:t>国家级</w:t>
            </w:r>
          </w:p>
        </w:tc>
      </w:tr>
      <w:tr w14:paraId="29324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1092" w:type="dxa"/>
            <w:shd w:val="clear" w:color="auto" w:fill="auto"/>
            <w:vAlign w:val="center"/>
          </w:tcPr>
          <w:p w14:paraId="59B58E6F">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13</w:t>
            </w:r>
          </w:p>
        </w:tc>
        <w:tc>
          <w:tcPr>
            <w:tcW w:w="1334" w:type="dxa"/>
            <w:shd w:val="clear" w:color="auto" w:fill="auto"/>
            <w:vAlign w:val="center"/>
          </w:tcPr>
          <w:p w14:paraId="369B5073">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z w:val="24"/>
                <w:szCs w:val="24"/>
                <w:lang w:val="en-US" w:eastAsia="en-US" w:bidi="ar-SA"/>
              </w:rPr>
            </w:pPr>
            <w:r>
              <w:rPr>
                <w:rFonts w:hint="default" w:ascii="Times New Roman" w:hAnsi="Times New Roman" w:eastAsia="Times New Roman" w:cs="Times New Roman"/>
                <w:snapToGrid w:val="0"/>
                <w:color w:val="auto"/>
                <w:spacing w:val="-2"/>
                <w:position w:val="1"/>
                <w:sz w:val="24"/>
                <w:szCs w:val="24"/>
                <w:lang w:eastAsia="en-US"/>
              </w:rPr>
              <w:t>2021</w:t>
            </w:r>
          </w:p>
        </w:tc>
        <w:tc>
          <w:tcPr>
            <w:tcW w:w="5689" w:type="dxa"/>
            <w:shd w:val="clear" w:color="auto" w:fill="auto"/>
            <w:vAlign w:val="center"/>
          </w:tcPr>
          <w:p w14:paraId="38B83091">
            <w:pPr>
              <w:pageBreakBefore w:val="0"/>
              <w:kinsoku w:val="0"/>
              <w:wordWrap/>
              <w:overflowPunct/>
              <w:topLinePunct w:val="0"/>
              <w:autoSpaceDE w:val="0"/>
              <w:autoSpaceDN w:val="0"/>
              <w:bidi w:val="0"/>
              <w:adjustRightInd w:val="0"/>
              <w:snapToGrid w:val="0"/>
              <w:spacing w:line="223" w:lineRule="auto"/>
              <w:ind w:left="0" w:leftChars="0" w:firstLine="476"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1"/>
                <w:sz w:val="24"/>
                <w:szCs w:val="24"/>
                <w:lang w:val="en-US" w:eastAsia="zh-CN" w:bidi="ar-SA"/>
              </w:rPr>
              <w:t>全国农产品产地冷藏保鲜整县推进试点</w:t>
            </w:r>
          </w:p>
        </w:tc>
        <w:tc>
          <w:tcPr>
            <w:tcW w:w="1336" w:type="dxa"/>
            <w:shd w:val="clear" w:color="auto" w:fill="auto"/>
            <w:vAlign w:val="center"/>
          </w:tcPr>
          <w:p w14:paraId="355D858E">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4"/>
                <w:sz w:val="24"/>
                <w:szCs w:val="24"/>
                <w:lang w:val="en-US" w:eastAsia="en-US" w:bidi="ar-SA"/>
              </w:rPr>
              <w:t>国家级</w:t>
            </w:r>
          </w:p>
        </w:tc>
      </w:tr>
      <w:tr w14:paraId="3342F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1092" w:type="dxa"/>
            <w:shd w:val="clear" w:color="auto" w:fill="F1F1F1" w:themeFill="background1" w:themeFillShade="F2"/>
            <w:vAlign w:val="center"/>
          </w:tcPr>
          <w:p w14:paraId="6C50C0C2">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14</w:t>
            </w:r>
          </w:p>
        </w:tc>
        <w:tc>
          <w:tcPr>
            <w:tcW w:w="1334" w:type="dxa"/>
            <w:shd w:val="clear" w:color="auto" w:fill="F1F1F1" w:themeFill="background1" w:themeFillShade="F2"/>
            <w:vAlign w:val="center"/>
          </w:tcPr>
          <w:p w14:paraId="396DE368">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z w:val="24"/>
                <w:szCs w:val="24"/>
                <w:lang w:val="en-US" w:eastAsia="en-US" w:bidi="ar-SA"/>
              </w:rPr>
            </w:pPr>
            <w:r>
              <w:rPr>
                <w:rFonts w:hint="default" w:ascii="Times New Roman" w:hAnsi="Times New Roman" w:eastAsia="Times New Roman" w:cs="Times New Roman"/>
                <w:snapToGrid w:val="0"/>
                <w:color w:val="auto"/>
                <w:spacing w:val="-2"/>
                <w:position w:val="1"/>
                <w:sz w:val="24"/>
                <w:szCs w:val="24"/>
                <w:lang w:eastAsia="en-US"/>
              </w:rPr>
              <w:t>2021</w:t>
            </w:r>
          </w:p>
        </w:tc>
        <w:tc>
          <w:tcPr>
            <w:tcW w:w="5689" w:type="dxa"/>
            <w:shd w:val="clear" w:color="auto" w:fill="F1F1F1" w:themeFill="background1" w:themeFillShade="F2"/>
            <w:vAlign w:val="center"/>
          </w:tcPr>
          <w:p w14:paraId="656B121A">
            <w:pPr>
              <w:pageBreakBefore w:val="0"/>
              <w:kinsoku w:val="0"/>
              <w:wordWrap/>
              <w:overflowPunct/>
              <w:topLinePunct w:val="0"/>
              <w:autoSpaceDE w:val="0"/>
              <w:autoSpaceDN w:val="0"/>
              <w:bidi w:val="0"/>
              <w:adjustRightInd w:val="0"/>
              <w:snapToGrid w:val="0"/>
              <w:spacing w:line="222" w:lineRule="auto"/>
              <w:ind w:left="0" w:leftChars="0" w:firstLine="472"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全国村庄清洁行动先进县</w:t>
            </w:r>
          </w:p>
        </w:tc>
        <w:tc>
          <w:tcPr>
            <w:tcW w:w="1336" w:type="dxa"/>
            <w:shd w:val="clear" w:color="auto" w:fill="F1F1F1" w:themeFill="background1" w:themeFillShade="F2"/>
            <w:vAlign w:val="center"/>
          </w:tcPr>
          <w:p w14:paraId="452C9BB3">
            <w:pPr>
              <w:pageBreakBefore w:val="0"/>
              <w:kinsoku w:val="0"/>
              <w:wordWrap/>
              <w:overflowPunct/>
              <w:topLinePunct w:val="0"/>
              <w:autoSpaceDE w:val="0"/>
              <w:autoSpaceDN w:val="0"/>
              <w:bidi w:val="0"/>
              <w:adjustRightInd w:val="0"/>
              <w:snapToGrid w:val="0"/>
              <w:spacing w:line="222"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4"/>
                <w:sz w:val="24"/>
                <w:szCs w:val="24"/>
                <w:lang w:val="en-US" w:eastAsia="en-US" w:bidi="ar-SA"/>
              </w:rPr>
              <w:t>国家级</w:t>
            </w:r>
          </w:p>
        </w:tc>
      </w:tr>
      <w:tr w14:paraId="1B35E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3" w:hRule="atLeast"/>
          <w:jc w:val="center"/>
        </w:trPr>
        <w:tc>
          <w:tcPr>
            <w:tcW w:w="1092" w:type="dxa"/>
            <w:shd w:val="clear" w:color="auto" w:fill="auto"/>
            <w:vAlign w:val="center"/>
          </w:tcPr>
          <w:p w14:paraId="1DC06B14">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15</w:t>
            </w:r>
          </w:p>
        </w:tc>
        <w:tc>
          <w:tcPr>
            <w:tcW w:w="1334" w:type="dxa"/>
            <w:shd w:val="clear" w:color="auto" w:fill="auto"/>
            <w:vAlign w:val="center"/>
          </w:tcPr>
          <w:p w14:paraId="3AFDB172">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z w:val="24"/>
                <w:szCs w:val="24"/>
                <w:lang w:val="en-US" w:eastAsia="en-US" w:bidi="ar-SA"/>
              </w:rPr>
            </w:pPr>
            <w:r>
              <w:rPr>
                <w:rFonts w:hint="default" w:ascii="Times New Roman" w:hAnsi="Times New Roman" w:eastAsia="Times New Roman" w:cs="Times New Roman"/>
                <w:snapToGrid w:val="0"/>
                <w:color w:val="auto"/>
                <w:spacing w:val="-2"/>
                <w:position w:val="1"/>
                <w:sz w:val="24"/>
                <w:szCs w:val="24"/>
                <w:lang w:eastAsia="en-US"/>
              </w:rPr>
              <w:t>2021</w:t>
            </w:r>
          </w:p>
        </w:tc>
        <w:tc>
          <w:tcPr>
            <w:tcW w:w="5689" w:type="dxa"/>
            <w:shd w:val="clear" w:color="auto" w:fill="auto"/>
            <w:vAlign w:val="center"/>
          </w:tcPr>
          <w:p w14:paraId="7EC48D87">
            <w:pPr>
              <w:pageBreakBefore w:val="0"/>
              <w:kinsoku w:val="0"/>
              <w:wordWrap/>
              <w:overflowPunct/>
              <w:topLinePunct w:val="0"/>
              <w:autoSpaceDE w:val="0"/>
              <w:autoSpaceDN w:val="0"/>
              <w:bidi w:val="0"/>
              <w:adjustRightInd w:val="0"/>
              <w:snapToGrid w:val="0"/>
              <w:spacing w:line="221" w:lineRule="auto"/>
              <w:ind w:left="0" w:leftChars="0" w:firstLine="476"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1"/>
                <w:sz w:val="24"/>
                <w:szCs w:val="24"/>
                <w:lang w:val="en-US" w:eastAsia="zh-CN" w:bidi="ar-SA"/>
              </w:rPr>
              <w:t>全国农作物病虫害绿色防控示范县</w:t>
            </w:r>
          </w:p>
        </w:tc>
        <w:tc>
          <w:tcPr>
            <w:tcW w:w="1336" w:type="dxa"/>
            <w:shd w:val="clear" w:color="auto" w:fill="auto"/>
            <w:vAlign w:val="center"/>
          </w:tcPr>
          <w:p w14:paraId="6345506A">
            <w:pPr>
              <w:pageBreakBefore w:val="0"/>
              <w:kinsoku w:val="0"/>
              <w:wordWrap/>
              <w:overflowPunct/>
              <w:topLinePunct w:val="0"/>
              <w:autoSpaceDE w:val="0"/>
              <w:autoSpaceDN w:val="0"/>
              <w:bidi w:val="0"/>
              <w:adjustRightInd w:val="0"/>
              <w:snapToGrid w:val="0"/>
              <w:spacing w:line="221"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4"/>
                <w:sz w:val="24"/>
                <w:szCs w:val="24"/>
                <w:lang w:val="en-US" w:eastAsia="en-US" w:bidi="ar-SA"/>
              </w:rPr>
              <w:t>国家级</w:t>
            </w:r>
          </w:p>
        </w:tc>
      </w:tr>
      <w:tr w14:paraId="2E54F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1092" w:type="dxa"/>
            <w:shd w:val="clear" w:color="auto" w:fill="F1F1F1" w:themeFill="background1" w:themeFillShade="F2"/>
            <w:vAlign w:val="center"/>
          </w:tcPr>
          <w:p w14:paraId="0D476CE9">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16</w:t>
            </w:r>
          </w:p>
        </w:tc>
        <w:tc>
          <w:tcPr>
            <w:tcW w:w="1334" w:type="dxa"/>
            <w:shd w:val="clear" w:color="auto" w:fill="F1F1F1" w:themeFill="background1" w:themeFillShade="F2"/>
            <w:vAlign w:val="center"/>
          </w:tcPr>
          <w:p w14:paraId="5D5C204B">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rPr>
            </w:pPr>
            <w:r>
              <w:rPr>
                <w:rFonts w:hint="default" w:ascii="Times New Roman" w:hAnsi="Times New Roman" w:eastAsia="宋体" w:cs="Times New Roman"/>
                <w:snapToGrid w:val="0"/>
                <w:color w:val="auto"/>
                <w:spacing w:val="-2"/>
                <w:position w:val="1"/>
                <w:sz w:val="24"/>
                <w:szCs w:val="24"/>
                <w:lang w:val="en-US" w:eastAsia="zh-CN"/>
              </w:rPr>
              <w:t>2025</w:t>
            </w:r>
          </w:p>
        </w:tc>
        <w:tc>
          <w:tcPr>
            <w:tcW w:w="5689" w:type="dxa"/>
            <w:shd w:val="clear" w:color="auto" w:fill="F1F1F1" w:themeFill="background1" w:themeFillShade="F2"/>
            <w:vAlign w:val="center"/>
          </w:tcPr>
          <w:p w14:paraId="6220C4AB">
            <w:pPr>
              <w:pageBreakBefore w:val="0"/>
              <w:kinsoku w:val="0"/>
              <w:wordWrap/>
              <w:overflowPunct/>
              <w:topLinePunct w:val="0"/>
              <w:autoSpaceDE w:val="0"/>
              <w:autoSpaceDN w:val="0"/>
              <w:bidi w:val="0"/>
              <w:adjustRightInd w:val="0"/>
              <w:snapToGrid w:val="0"/>
              <w:spacing w:line="221" w:lineRule="auto"/>
              <w:ind w:left="0" w:leftChars="0" w:firstLine="472"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推进乡村全面振兴争先进位县</w:t>
            </w:r>
          </w:p>
        </w:tc>
        <w:tc>
          <w:tcPr>
            <w:tcW w:w="1336" w:type="dxa"/>
            <w:shd w:val="clear" w:color="auto" w:fill="F1F1F1" w:themeFill="background1" w:themeFillShade="F2"/>
            <w:vAlign w:val="center"/>
          </w:tcPr>
          <w:p w14:paraId="13A0A49E">
            <w:pPr>
              <w:pageBreakBefore w:val="0"/>
              <w:kinsoku w:val="0"/>
              <w:wordWrap/>
              <w:overflowPunct/>
              <w:topLinePunct w:val="0"/>
              <w:autoSpaceDE w:val="0"/>
              <w:autoSpaceDN w:val="0"/>
              <w:bidi w:val="0"/>
              <w:adjustRightInd w:val="0"/>
              <w:snapToGrid w:val="0"/>
              <w:spacing w:line="221"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0"/>
                <w:sz w:val="24"/>
                <w:szCs w:val="24"/>
                <w:lang w:val="en-US" w:eastAsia="en-US" w:bidi="ar-SA"/>
              </w:rPr>
              <w:t>省级</w:t>
            </w:r>
          </w:p>
        </w:tc>
      </w:tr>
      <w:tr w14:paraId="51CEE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1092" w:type="dxa"/>
            <w:shd w:val="clear" w:color="auto" w:fill="auto"/>
            <w:vAlign w:val="center"/>
          </w:tcPr>
          <w:p w14:paraId="3C6447BC">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17</w:t>
            </w:r>
          </w:p>
        </w:tc>
        <w:tc>
          <w:tcPr>
            <w:tcW w:w="1334" w:type="dxa"/>
            <w:shd w:val="clear" w:color="auto" w:fill="auto"/>
            <w:vAlign w:val="center"/>
          </w:tcPr>
          <w:p w14:paraId="4E5A2569">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z w:val="24"/>
                <w:szCs w:val="24"/>
                <w:lang w:val="en-US" w:eastAsia="en-US" w:bidi="ar-SA"/>
              </w:rPr>
            </w:pPr>
            <w:r>
              <w:rPr>
                <w:rFonts w:hint="default" w:ascii="Times New Roman" w:hAnsi="Times New Roman" w:eastAsia="Times New Roman" w:cs="Times New Roman"/>
                <w:snapToGrid w:val="0"/>
                <w:color w:val="auto"/>
                <w:spacing w:val="-2"/>
                <w:position w:val="1"/>
                <w:sz w:val="24"/>
                <w:szCs w:val="24"/>
                <w:lang w:eastAsia="en-US"/>
              </w:rPr>
              <w:t>2024</w:t>
            </w:r>
          </w:p>
        </w:tc>
        <w:tc>
          <w:tcPr>
            <w:tcW w:w="5689" w:type="dxa"/>
            <w:shd w:val="clear" w:color="auto" w:fill="auto"/>
            <w:vAlign w:val="center"/>
          </w:tcPr>
          <w:p w14:paraId="638C5FE8">
            <w:pPr>
              <w:pageBreakBefore w:val="0"/>
              <w:kinsoku w:val="0"/>
              <w:wordWrap/>
              <w:overflowPunct/>
              <w:topLinePunct w:val="0"/>
              <w:autoSpaceDE w:val="0"/>
              <w:autoSpaceDN w:val="0"/>
              <w:bidi w:val="0"/>
              <w:adjustRightInd w:val="0"/>
              <w:snapToGrid w:val="0"/>
              <w:spacing w:line="222" w:lineRule="auto"/>
              <w:ind w:left="0" w:leftChars="0" w:firstLine="472" w:firstLineChars="20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2"/>
                <w:sz w:val="24"/>
                <w:szCs w:val="24"/>
                <w:lang w:val="en-US" w:eastAsia="zh-CN" w:bidi="ar-SA"/>
              </w:rPr>
              <w:t>江苏省省级标准居家社区养老服务网络地区</w:t>
            </w:r>
          </w:p>
        </w:tc>
        <w:tc>
          <w:tcPr>
            <w:tcW w:w="1336" w:type="dxa"/>
            <w:shd w:val="clear" w:color="auto" w:fill="auto"/>
            <w:vAlign w:val="center"/>
          </w:tcPr>
          <w:p w14:paraId="051E081B">
            <w:pPr>
              <w:pageBreakBefore w:val="0"/>
              <w:kinsoku w:val="0"/>
              <w:wordWrap/>
              <w:overflowPunct/>
              <w:topLinePunct w:val="0"/>
              <w:autoSpaceDE w:val="0"/>
              <w:autoSpaceDN w:val="0"/>
              <w:bidi w:val="0"/>
              <w:adjustRightInd w:val="0"/>
              <w:snapToGrid w:val="0"/>
              <w:spacing w:line="222"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0"/>
                <w:sz w:val="24"/>
                <w:szCs w:val="24"/>
                <w:lang w:val="en-US" w:eastAsia="en-US" w:bidi="ar-SA"/>
              </w:rPr>
              <w:t>省级</w:t>
            </w:r>
          </w:p>
        </w:tc>
      </w:tr>
      <w:tr w14:paraId="2E365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1092" w:type="dxa"/>
            <w:shd w:val="clear" w:color="auto" w:fill="F1F1F1" w:themeFill="background1" w:themeFillShade="F2"/>
            <w:vAlign w:val="center"/>
          </w:tcPr>
          <w:p w14:paraId="3A6609D1">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18</w:t>
            </w:r>
          </w:p>
        </w:tc>
        <w:tc>
          <w:tcPr>
            <w:tcW w:w="1334" w:type="dxa"/>
            <w:shd w:val="clear" w:color="auto" w:fill="F1F1F1" w:themeFill="background1" w:themeFillShade="F2"/>
            <w:vAlign w:val="center"/>
          </w:tcPr>
          <w:p w14:paraId="011C9BFF">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z w:val="24"/>
                <w:szCs w:val="24"/>
                <w:lang w:val="en-US" w:eastAsia="en-US" w:bidi="ar-SA"/>
              </w:rPr>
            </w:pPr>
            <w:r>
              <w:rPr>
                <w:rFonts w:hint="default" w:ascii="Times New Roman" w:hAnsi="Times New Roman" w:eastAsia="Times New Roman" w:cs="Times New Roman"/>
                <w:snapToGrid w:val="0"/>
                <w:color w:val="auto"/>
                <w:spacing w:val="-2"/>
                <w:position w:val="1"/>
                <w:sz w:val="24"/>
                <w:szCs w:val="24"/>
                <w:lang w:eastAsia="en-US"/>
              </w:rPr>
              <w:t>2024</w:t>
            </w:r>
          </w:p>
        </w:tc>
        <w:tc>
          <w:tcPr>
            <w:tcW w:w="5689" w:type="dxa"/>
            <w:shd w:val="clear" w:color="auto" w:fill="F1F1F1" w:themeFill="background1" w:themeFillShade="F2"/>
            <w:vAlign w:val="center"/>
          </w:tcPr>
          <w:p w14:paraId="085D64F3">
            <w:pPr>
              <w:pageBreakBefore w:val="0"/>
              <w:kinsoku w:val="0"/>
              <w:wordWrap/>
              <w:overflowPunct/>
              <w:topLinePunct w:val="0"/>
              <w:autoSpaceDE w:val="0"/>
              <w:autoSpaceDN w:val="0"/>
              <w:bidi w:val="0"/>
              <w:adjustRightInd w:val="0"/>
              <w:snapToGrid w:val="0"/>
              <w:spacing w:line="222" w:lineRule="auto"/>
              <w:ind w:left="0" w:leftChars="0" w:firstLine="472"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江苏省农作物病虫害绿色防控县</w:t>
            </w:r>
          </w:p>
        </w:tc>
        <w:tc>
          <w:tcPr>
            <w:tcW w:w="1336" w:type="dxa"/>
            <w:shd w:val="clear" w:color="auto" w:fill="F1F1F1" w:themeFill="background1" w:themeFillShade="F2"/>
            <w:vAlign w:val="center"/>
          </w:tcPr>
          <w:p w14:paraId="62EA34C5">
            <w:pPr>
              <w:pageBreakBefore w:val="0"/>
              <w:kinsoku w:val="0"/>
              <w:wordWrap/>
              <w:overflowPunct/>
              <w:topLinePunct w:val="0"/>
              <w:autoSpaceDE w:val="0"/>
              <w:autoSpaceDN w:val="0"/>
              <w:bidi w:val="0"/>
              <w:adjustRightInd w:val="0"/>
              <w:snapToGrid w:val="0"/>
              <w:spacing w:line="222"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0"/>
                <w:sz w:val="24"/>
                <w:szCs w:val="24"/>
                <w:lang w:val="en-US" w:eastAsia="en-US" w:bidi="ar-SA"/>
              </w:rPr>
              <w:t>省级</w:t>
            </w:r>
          </w:p>
        </w:tc>
      </w:tr>
      <w:tr w14:paraId="5B2BC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1092" w:type="dxa"/>
            <w:shd w:val="clear" w:color="auto" w:fill="auto"/>
            <w:vAlign w:val="center"/>
          </w:tcPr>
          <w:p w14:paraId="33F39BD5">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19</w:t>
            </w:r>
          </w:p>
        </w:tc>
        <w:tc>
          <w:tcPr>
            <w:tcW w:w="1334" w:type="dxa"/>
            <w:shd w:val="clear" w:color="auto" w:fill="auto"/>
            <w:vAlign w:val="center"/>
          </w:tcPr>
          <w:p w14:paraId="5F857BAB">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Times New Roman" w:cs="Times New Roman"/>
                <w:snapToGrid w:val="0"/>
                <w:color w:val="auto"/>
                <w:sz w:val="24"/>
                <w:szCs w:val="24"/>
                <w:lang w:val="en-US" w:eastAsia="en-US" w:bidi="ar-SA"/>
              </w:rPr>
            </w:pPr>
            <w:r>
              <w:rPr>
                <w:rFonts w:hint="default" w:ascii="Times New Roman" w:hAnsi="Times New Roman" w:eastAsia="Times New Roman" w:cs="Times New Roman"/>
                <w:snapToGrid w:val="0"/>
                <w:color w:val="auto"/>
                <w:spacing w:val="-2"/>
                <w:position w:val="1"/>
                <w:sz w:val="24"/>
                <w:szCs w:val="24"/>
                <w:lang w:eastAsia="en-US"/>
              </w:rPr>
              <w:t>2024</w:t>
            </w:r>
          </w:p>
        </w:tc>
        <w:tc>
          <w:tcPr>
            <w:tcW w:w="5689" w:type="dxa"/>
            <w:shd w:val="clear" w:color="auto" w:fill="auto"/>
            <w:vAlign w:val="center"/>
          </w:tcPr>
          <w:p w14:paraId="01097A1B">
            <w:pPr>
              <w:pageBreakBefore w:val="0"/>
              <w:kinsoku w:val="0"/>
              <w:wordWrap/>
              <w:overflowPunct/>
              <w:topLinePunct w:val="0"/>
              <w:autoSpaceDE w:val="0"/>
              <w:autoSpaceDN w:val="0"/>
              <w:bidi w:val="0"/>
              <w:adjustRightInd w:val="0"/>
              <w:snapToGrid w:val="0"/>
              <w:spacing w:line="221" w:lineRule="auto"/>
              <w:ind w:left="0" w:leftChars="0" w:firstLine="472"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推进乡村全面振兴争先进位县</w:t>
            </w:r>
          </w:p>
        </w:tc>
        <w:tc>
          <w:tcPr>
            <w:tcW w:w="1336" w:type="dxa"/>
            <w:shd w:val="clear" w:color="auto" w:fill="auto"/>
            <w:vAlign w:val="center"/>
          </w:tcPr>
          <w:p w14:paraId="76789277">
            <w:pPr>
              <w:pageBreakBefore w:val="0"/>
              <w:kinsoku w:val="0"/>
              <w:wordWrap/>
              <w:overflowPunct/>
              <w:topLinePunct w:val="0"/>
              <w:autoSpaceDE w:val="0"/>
              <w:autoSpaceDN w:val="0"/>
              <w:bidi w:val="0"/>
              <w:adjustRightInd w:val="0"/>
              <w:snapToGrid w:val="0"/>
              <w:spacing w:line="221"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0"/>
                <w:sz w:val="24"/>
                <w:szCs w:val="24"/>
                <w:lang w:val="en-US" w:eastAsia="en-US" w:bidi="ar-SA"/>
              </w:rPr>
              <w:t>省级</w:t>
            </w:r>
          </w:p>
        </w:tc>
      </w:tr>
      <w:tr w14:paraId="169D5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1092" w:type="dxa"/>
            <w:shd w:val="clear" w:color="auto" w:fill="F1F1F1" w:themeFill="background1" w:themeFillShade="F2"/>
            <w:vAlign w:val="center"/>
          </w:tcPr>
          <w:p w14:paraId="3CC40DB3">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20</w:t>
            </w:r>
          </w:p>
        </w:tc>
        <w:tc>
          <w:tcPr>
            <w:tcW w:w="1334" w:type="dxa"/>
            <w:shd w:val="clear" w:color="auto" w:fill="F1F1F1" w:themeFill="background1" w:themeFillShade="F2"/>
            <w:vAlign w:val="center"/>
          </w:tcPr>
          <w:p w14:paraId="0AA07EAA">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2"/>
                <w:position w:val="1"/>
                <w:sz w:val="24"/>
                <w:szCs w:val="24"/>
                <w:lang w:eastAsia="en-US"/>
              </w:rPr>
              <w:t>2023</w:t>
            </w:r>
          </w:p>
        </w:tc>
        <w:tc>
          <w:tcPr>
            <w:tcW w:w="5689" w:type="dxa"/>
            <w:shd w:val="clear" w:color="auto" w:fill="F1F1F1" w:themeFill="background1" w:themeFillShade="F2"/>
            <w:vAlign w:val="center"/>
          </w:tcPr>
          <w:p w14:paraId="5D17506E">
            <w:pPr>
              <w:pageBreakBefore w:val="0"/>
              <w:kinsoku w:val="0"/>
              <w:wordWrap/>
              <w:overflowPunct/>
              <w:topLinePunct w:val="0"/>
              <w:autoSpaceDE w:val="0"/>
              <w:autoSpaceDN w:val="0"/>
              <w:bidi w:val="0"/>
              <w:adjustRightInd w:val="0"/>
              <w:snapToGrid w:val="0"/>
              <w:spacing w:line="224" w:lineRule="auto"/>
              <w:ind w:left="0" w:leftChars="0" w:firstLine="476"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1"/>
                <w:sz w:val="24"/>
                <w:szCs w:val="24"/>
                <w:lang w:val="en-US" w:eastAsia="zh-CN" w:bidi="ar-SA"/>
              </w:rPr>
              <w:t>养老服务体系建设真抓实干成效明显地区</w:t>
            </w:r>
          </w:p>
        </w:tc>
        <w:tc>
          <w:tcPr>
            <w:tcW w:w="1336" w:type="dxa"/>
            <w:shd w:val="clear" w:color="auto" w:fill="F1F1F1" w:themeFill="background1" w:themeFillShade="F2"/>
            <w:vAlign w:val="center"/>
          </w:tcPr>
          <w:p w14:paraId="50D9D0BA">
            <w:pPr>
              <w:pageBreakBefore w:val="0"/>
              <w:kinsoku w:val="0"/>
              <w:wordWrap/>
              <w:overflowPunct/>
              <w:topLinePunct w:val="0"/>
              <w:autoSpaceDE w:val="0"/>
              <w:autoSpaceDN w:val="0"/>
              <w:bidi w:val="0"/>
              <w:adjustRightInd w:val="0"/>
              <w:snapToGrid w:val="0"/>
              <w:spacing w:line="224"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0"/>
                <w:sz w:val="24"/>
                <w:szCs w:val="24"/>
                <w:lang w:val="en-US" w:eastAsia="en-US" w:bidi="ar-SA"/>
              </w:rPr>
              <w:t>省级</w:t>
            </w:r>
          </w:p>
        </w:tc>
      </w:tr>
      <w:tr w14:paraId="7C14E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jc w:val="center"/>
        </w:trPr>
        <w:tc>
          <w:tcPr>
            <w:tcW w:w="1092" w:type="dxa"/>
            <w:shd w:val="clear" w:color="auto" w:fill="auto"/>
            <w:vAlign w:val="center"/>
          </w:tcPr>
          <w:p w14:paraId="5583E4B2">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21</w:t>
            </w:r>
          </w:p>
        </w:tc>
        <w:tc>
          <w:tcPr>
            <w:tcW w:w="1334" w:type="dxa"/>
            <w:shd w:val="clear" w:color="auto" w:fill="auto"/>
            <w:vAlign w:val="center"/>
          </w:tcPr>
          <w:p w14:paraId="662C9D33">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2"/>
                <w:position w:val="1"/>
                <w:sz w:val="24"/>
                <w:szCs w:val="24"/>
                <w:lang w:eastAsia="en-US"/>
              </w:rPr>
              <w:t>2022</w:t>
            </w:r>
          </w:p>
        </w:tc>
        <w:tc>
          <w:tcPr>
            <w:tcW w:w="5689" w:type="dxa"/>
            <w:shd w:val="clear" w:color="auto" w:fill="auto"/>
            <w:vAlign w:val="center"/>
          </w:tcPr>
          <w:p w14:paraId="034D2CB0">
            <w:pPr>
              <w:pageBreakBefore w:val="0"/>
              <w:kinsoku w:val="0"/>
              <w:wordWrap/>
              <w:overflowPunct/>
              <w:topLinePunct w:val="0"/>
              <w:autoSpaceDE w:val="0"/>
              <w:autoSpaceDN w:val="0"/>
              <w:bidi w:val="0"/>
              <w:adjustRightInd w:val="0"/>
              <w:snapToGrid w:val="0"/>
              <w:spacing w:line="222" w:lineRule="auto"/>
              <w:ind w:left="0" w:leftChars="0" w:firstLine="472"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省级农业现代化先行区</w:t>
            </w:r>
          </w:p>
        </w:tc>
        <w:tc>
          <w:tcPr>
            <w:tcW w:w="1336" w:type="dxa"/>
            <w:shd w:val="clear" w:color="auto" w:fill="auto"/>
            <w:vAlign w:val="center"/>
          </w:tcPr>
          <w:p w14:paraId="09C43364">
            <w:pPr>
              <w:pageBreakBefore w:val="0"/>
              <w:kinsoku w:val="0"/>
              <w:wordWrap/>
              <w:overflowPunct/>
              <w:topLinePunct w:val="0"/>
              <w:autoSpaceDE w:val="0"/>
              <w:autoSpaceDN w:val="0"/>
              <w:bidi w:val="0"/>
              <w:adjustRightInd w:val="0"/>
              <w:snapToGrid w:val="0"/>
              <w:spacing w:line="222"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0"/>
                <w:sz w:val="24"/>
                <w:szCs w:val="24"/>
                <w:lang w:val="en-US" w:eastAsia="en-US" w:bidi="ar-SA"/>
              </w:rPr>
              <w:t>省级</w:t>
            </w:r>
          </w:p>
        </w:tc>
      </w:tr>
      <w:tr w14:paraId="10093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1" w:hRule="atLeast"/>
          <w:jc w:val="center"/>
        </w:trPr>
        <w:tc>
          <w:tcPr>
            <w:tcW w:w="1092" w:type="dxa"/>
            <w:shd w:val="clear" w:color="auto" w:fill="F1F1F1" w:themeFill="background1" w:themeFillShade="F2"/>
            <w:vAlign w:val="center"/>
          </w:tcPr>
          <w:p w14:paraId="590D6403">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22</w:t>
            </w:r>
          </w:p>
        </w:tc>
        <w:tc>
          <w:tcPr>
            <w:tcW w:w="1334" w:type="dxa"/>
            <w:shd w:val="clear" w:color="auto" w:fill="F1F1F1" w:themeFill="background1" w:themeFillShade="F2"/>
            <w:vAlign w:val="center"/>
          </w:tcPr>
          <w:p w14:paraId="5E42C748">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2"/>
                <w:position w:val="1"/>
                <w:sz w:val="24"/>
                <w:szCs w:val="24"/>
                <w:lang w:eastAsia="en-US"/>
              </w:rPr>
              <w:t>2022</w:t>
            </w:r>
          </w:p>
        </w:tc>
        <w:tc>
          <w:tcPr>
            <w:tcW w:w="5689" w:type="dxa"/>
            <w:shd w:val="clear" w:color="auto" w:fill="F1F1F1" w:themeFill="background1" w:themeFillShade="F2"/>
            <w:vAlign w:val="center"/>
          </w:tcPr>
          <w:p w14:paraId="783E6101">
            <w:pPr>
              <w:pageBreakBefore w:val="0"/>
              <w:kinsoku w:val="0"/>
              <w:wordWrap/>
              <w:overflowPunct/>
              <w:topLinePunct w:val="0"/>
              <w:autoSpaceDE w:val="0"/>
              <w:autoSpaceDN w:val="0"/>
              <w:bidi w:val="0"/>
              <w:adjustRightInd w:val="0"/>
              <w:snapToGrid w:val="0"/>
              <w:spacing w:line="223" w:lineRule="auto"/>
              <w:ind w:left="0" w:leftChars="0" w:firstLine="468"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3"/>
                <w:sz w:val="24"/>
                <w:szCs w:val="24"/>
                <w:lang w:val="en-US" w:eastAsia="en-US" w:bidi="ar-SA"/>
              </w:rPr>
              <w:t>省级全域旅游示范区</w:t>
            </w:r>
          </w:p>
        </w:tc>
        <w:tc>
          <w:tcPr>
            <w:tcW w:w="1336" w:type="dxa"/>
            <w:shd w:val="clear" w:color="auto" w:fill="F1F1F1" w:themeFill="background1" w:themeFillShade="F2"/>
            <w:vAlign w:val="center"/>
          </w:tcPr>
          <w:p w14:paraId="4CC8E5EF">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0"/>
                <w:sz w:val="24"/>
                <w:szCs w:val="24"/>
                <w:lang w:val="en-US" w:eastAsia="en-US" w:bidi="ar-SA"/>
              </w:rPr>
              <w:t>省级</w:t>
            </w:r>
          </w:p>
        </w:tc>
      </w:tr>
      <w:tr w14:paraId="50934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3" w:hRule="atLeast"/>
          <w:jc w:val="center"/>
        </w:trPr>
        <w:tc>
          <w:tcPr>
            <w:tcW w:w="1092" w:type="dxa"/>
            <w:shd w:val="clear" w:color="auto" w:fill="auto"/>
            <w:vAlign w:val="center"/>
          </w:tcPr>
          <w:p w14:paraId="77C7395F">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23</w:t>
            </w:r>
          </w:p>
        </w:tc>
        <w:tc>
          <w:tcPr>
            <w:tcW w:w="1334" w:type="dxa"/>
            <w:shd w:val="clear" w:color="auto" w:fill="auto"/>
            <w:vAlign w:val="center"/>
          </w:tcPr>
          <w:p w14:paraId="4263A26E">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2"/>
                <w:position w:val="1"/>
                <w:sz w:val="24"/>
                <w:szCs w:val="24"/>
                <w:lang w:eastAsia="en-US"/>
              </w:rPr>
              <w:t>2022</w:t>
            </w:r>
          </w:p>
        </w:tc>
        <w:tc>
          <w:tcPr>
            <w:tcW w:w="5689" w:type="dxa"/>
            <w:shd w:val="clear" w:color="auto" w:fill="auto"/>
            <w:vAlign w:val="center"/>
          </w:tcPr>
          <w:p w14:paraId="239D86D1">
            <w:pPr>
              <w:pageBreakBefore w:val="0"/>
              <w:kinsoku w:val="0"/>
              <w:wordWrap/>
              <w:overflowPunct/>
              <w:topLinePunct w:val="0"/>
              <w:autoSpaceDE w:val="0"/>
              <w:autoSpaceDN w:val="0"/>
              <w:bidi w:val="0"/>
              <w:adjustRightInd w:val="0"/>
              <w:snapToGrid w:val="0"/>
              <w:spacing w:line="223" w:lineRule="auto"/>
              <w:ind w:left="0" w:leftChars="0" w:firstLine="472"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生态环保真抓实干成效明显地区</w:t>
            </w:r>
          </w:p>
        </w:tc>
        <w:tc>
          <w:tcPr>
            <w:tcW w:w="1336" w:type="dxa"/>
            <w:shd w:val="clear" w:color="auto" w:fill="auto"/>
            <w:vAlign w:val="center"/>
          </w:tcPr>
          <w:p w14:paraId="0BC497E1">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0"/>
                <w:sz w:val="24"/>
                <w:szCs w:val="24"/>
                <w:lang w:val="en-US" w:eastAsia="en-US" w:bidi="ar-SA"/>
              </w:rPr>
              <w:t>省级</w:t>
            </w:r>
          </w:p>
        </w:tc>
      </w:tr>
      <w:tr w14:paraId="6FAFB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jc w:val="center"/>
        </w:trPr>
        <w:tc>
          <w:tcPr>
            <w:tcW w:w="1092" w:type="dxa"/>
            <w:shd w:val="clear" w:color="auto" w:fill="F1F1F1" w:themeFill="background1" w:themeFillShade="F2"/>
            <w:vAlign w:val="center"/>
          </w:tcPr>
          <w:p w14:paraId="11059C68">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24</w:t>
            </w:r>
          </w:p>
        </w:tc>
        <w:tc>
          <w:tcPr>
            <w:tcW w:w="1334" w:type="dxa"/>
            <w:shd w:val="clear" w:color="auto" w:fill="F1F1F1" w:themeFill="background1" w:themeFillShade="F2"/>
            <w:vAlign w:val="center"/>
          </w:tcPr>
          <w:p w14:paraId="65CE5B2A">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2"/>
                <w:position w:val="1"/>
                <w:sz w:val="24"/>
                <w:szCs w:val="24"/>
                <w:lang w:eastAsia="en-US"/>
              </w:rPr>
              <w:t>2022</w:t>
            </w:r>
          </w:p>
        </w:tc>
        <w:tc>
          <w:tcPr>
            <w:tcW w:w="5689" w:type="dxa"/>
            <w:shd w:val="clear" w:color="auto" w:fill="F1F1F1" w:themeFill="background1" w:themeFillShade="F2"/>
            <w:vAlign w:val="center"/>
          </w:tcPr>
          <w:p w14:paraId="24B0870C">
            <w:pPr>
              <w:pageBreakBefore w:val="0"/>
              <w:kinsoku w:val="0"/>
              <w:wordWrap/>
              <w:overflowPunct/>
              <w:topLinePunct w:val="0"/>
              <w:autoSpaceDE w:val="0"/>
              <w:autoSpaceDN w:val="0"/>
              <w:bidi w:val="0"/>
              <w:adjustRightInd w:val="0"/>
              <w:snapToGrid w:val="0"/>
              <w:spacing w:line="222"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高标准农田建设真抓实干成效明显地区</w:t>
            </w:r>
          </w:p>
        </w:tc>
        <w:tc>
          <w:tcPr>
            <w:tcW w:w="1336" w:type="dxa"/>
            <w:shd w:val="clear" w:color="auto" w:fill="F1F1F1" w:themeFill="background1" w:themeFillShade="F2"/>
            <w:vAlign w:val="center"/>
          </w:tcPr>
          <w:p w14:paraId="326657E0">
            <w:pPr>
              <w:pageBreakBefore w:val="0"/>
              <w:kinsoku w:val="0"/>
              <w:wordWrap/>
              <w:overflowPunct/>
              <w:topLinePunct w:val="0"/>
              <w:autoSpaceDE w:val="0"/>
              <w:autoSpaceDN w:val="0"/>
              <w:bidi w:val="0"/>
              <w:adjustRightInd w:val="0"/>
              <w:snapToGrid w:val="0"/>
              <w:spacing w:line="222"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0"/>
                <w:sz w:val="24"/>
                <w:szCs w:val="24"/>
                <w:lang w:val="en-US" w:eastAsia="en-US" w:bidi="ar-SA"/>
              </w:rPr>
              <w:t>省级</w:t>
            </w:r>
          </w:p>
        </w:tc>
      </w:tr>
      <w:tr w14:paraId="68D32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1092" w:type="dxa"/>
            <w:shd w:val="clear" w:color="auto" w:fill="auto"/>
            <w:vAlign w:val="center"/>
          </w:tcPr>
          <w:p w14:paraId="4719D643">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25</w:t>
            </w:r>
          </w:p>
        </w:tc>
        <w:tc>
          <w:tcPr>
            <w:tcW w:w="1334" w:type="dxa"/>
            <w:shd w:val="clear" w:color="auto" w:fill="auto"/>
            <w:vAlign w:val="center"/>
          </w:tcPr>
          <w:p w14:paraId="44BFDE30">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2"/>
                <w:position w:val="1"/>
                <w:sz w:val="24"/>
                <w:szCs w:val="24"/>
                <w:lang w:eastAsia="en-US"/>
              </w:rPr>
              <w:t>2022</w:t>
            </w:r>
          </w:p>
        </w:tc>
        <w:tc>
          <w:tcPr>
            <w:tcW w:w="5689" w:type="dxa"/>
            <w:shd w:val="clear" w:color="auto" w:fill="auto"/>
            <w:vAlign w:val="center"/>
          </w:tcPr>
          <w:p w14:paraId="45B2A874">
            <w:pPr>
              <w:pageBreakBefore w:val="0"/>
              <w:kinsoku w:val="0"/>
              <w:wordWrap/>
              <w:overflowPunct/>
              <w:topLinePunct w:val="0"/>
              <w:autoSpaceDE w:val="0"/>
              <w:autoSpaceDN w:val="0"/>
              <w:bidi w:val="0"/>
              <w:adjustRightInd w:val="0"/>
              <w:snapToGrid w:val="0"/>
              <w:spacing w:line="222"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1"/>
                <w:sz w:val="24"/>
                <w:szCs w:val="24"/>
                <w:lang w:val="en-US" w:eastAsia="zh-CN" w:bidi="ar-SA"/>
              </w:rPr>
              <w:t>促进乡村振兴和改善人居环境真抓实干成效明显地区</w:t>
            </w:r>
          </w:p>
        </w:tc>
        <w:tc>
          <w:tcPr>
            <w:tcW w:w="1336" w:type="dxa"/>
            <w:shd w:val="clear" w:color="auto" w:fill="auto"/>
            <w:vAlign w:val="center"/>
          </w:tcPr>
          <w:p w14:paraId="71907240">
            <w:pPr>
              <w:pageBreakBefore w:val="0"/>
              <w:kinsoku w:val="0"/>
              <w:wordWrap/>
              <w:overflowPunct/>
              <w:topLinePunct w:val="0"/>
              <w:autoSpaceDE w:val="0"/>
              <w:autoSpaceDN w:val="0"/>
              <w:bidi w:val="0"/>
              <w:adjustRightInd w:val="0"/>
              <w:snapToGrid w:val="0"/>
              <w:spacing w:line="222"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0"/>
                <w:sz w:val="24"/>
                <w:szCs w:val="24"/>
                <w:lang w:val="en-US" w:eastAsia="en-US" w:bidi="ar-SA"/>
              </w:rPr>
              <w:t>省级</w:t>
            </w:r>
          </w:p>
        </w:tc>
      </w:tr>
      <w:tr w14:paraId="556FB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1092" w:type="dxa"/>
            <w:shd w:val="clear" w:color="auto" w:fill="F1F1F1" w:themeFill="background1" w:themeFillShade="F2"/>
            <w:vAlign w:val="center"/>
          </w:tcPr>
          <w:p w14:paraId="07A2E46C">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rPr>
              <w:t>26</w:t>
            </w:r>
          </w:p>
        </w:tc>
        <w:tc>
          <w:tcPr>
            <w:tcW w:w="1334" w:type="dxa"/>
            <w:shd w:val="clear" w:color="auto" w:fill="F1F1F1" w:themeFill="background1" w:themeFillShade="F2"/>
            <w:vAlign w:val="center"/>
          </w:tcPr>
          <w:p w14:paraId="7D9B9E3B">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z w:val="24"/>
                <w:szCs w:val="24"/>
                <w:lang w:val="en-US" w:eastAsia="zh-CN" w:bidi="ar-SA"/>
              </w:rPr>
              <w:t>2022</w:t>
            </w:r>
          </w:p>
        </w:tc>
        <w:tc>
          <w:tcPr>
            <w:tcW w:w="5689" w:type="dxa"/>
            <w:shd w:val="clear" w:color="auto" w:fill="F1F1F1" w:themeFill="background1" w:themeFillShade="F2"/>
            <w:vAlign w:val="center"/>
          </w:tcPr>
          <w:p w14:paraId="5ECB7CA4">
            <w:pPr>
              <w:pageBreakBefore w:val="0"/>
              <w:kinsoku w:val="0"/>
              <w:wordWrap/>
              <w:overflowPunct/>
              <w:topLinePunct w:val="0"/>
              <w:autoSpaceDE w:val="0"/>
              <w:autoSpaceDN w:val="0"/>
              <w:bidi w:val="0"/>
              <w:adjustRightInd w:val="0"/>
              <w:snapToGrid w:val="0"/>
              <w:spacing w:line="223" w:lineRule="auto"/>
              <w:ind w:left="0" w:leftChars="0" w:firstLine="472"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文化产业和旅游产业真抓实干成效明显地区</w:t>
            </w:r>
          </w:p>
        </w:tc>
        <w:tc>
          <w:tcPr>
            <w:tcW w:w="1336" w:type="dxa"/>
            <w:shd w:val="clear" w:color="auto" w:fill="F1F1F1" w:themeFill="background1" w:themeFillShade="F2"/>
            <w:vAlign w:val="center"/>
          </w:tcPr>
          <w:p w14:paraId="5F808A99">
            <w:pPr>
              <w:pageBreakBefore w:val="0"/>
              <w:kinsoku w:val="0"/>
              <w:wordWrap/>
              <w:overflowPunct/>
              <w:topLinePunct w:val="0"/>
              <w:autoSpaceDE w:val="0"/>
              <w:autoSpaceDN w:val="0"/>
              <w:bidi w:val="0"/>
              <w:adjustRightInd w:val="0"/>
              <w:snapToGrid w:val="0"/>
              <w:spacing w:line="223"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0"/>
                <w:sz w:val="24"/>
                <w:szCs w:val="24"/>
                <w:lang w:val="en-US" w:eastAsia="en-US" w:bidi="ar-SA"/>
              </w:rPr>
              <w:t>省级</w:t>
            </w:r>
          </w:p>
        </w:tc>
      </w:tr>
      <w:tr w14:paraId="501C1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1092" w:type="dxa"/>
            <w:shd w:val="clear" w:color="auto" w:fill="auto"/>
            <w:vAlign w:val="center"/>
          </w:tcPr>
          <w:p w14:paraId="0201DF6E">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bidi="ar-SA"/>
              </w:rPr>
            </w:pPr>
            <w:r>
              <w:rPr>
                <w:rFonts w:hint="default" w:ascii="Times New Roman" w:hAnsi="Times New Roman" w:eastAsia="宋体" w:cs="Times New Roman"/>
                <w:snapToGrid w:val="0"/>
                <w:color w:val="auto"/>
                <w:spacing w:val="-2"/>
                <w:position w:val="1"/>
                <w:sz w:val="24"/>
                <w:szCs w:val="24"/>
                <w:lang w:val="en-US" w:eastAsia="zh-CN" w:bidi="ar-SA"/>
              </w:rPr>
              <w:t>27</w:t>
            </w:r>
          </w:p>
        </w:tc>
        <w:tc>
          <w:tcPr>
            <w:tcW w:w="1334" w:type="dxa"/>
            <w:shd w:val="clear" w:color="auto" w:fill="auto"/>
            <w:vAlign w:val="center"/>
          </w:tcPr>
          <w:p w14:paraId="7FC42272">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z w:val="24"/>
                <w:szCs w:val="24"/>
                <w:lang w:val="en-US" w:eastAsia="zh-CN" w:bidi="ar-SA"/>
              </w:rPr>
              <w:t>2021</w:t>
            </w:r>
          </w:p>
        </w:tc>
        <w:tc>
          <w:tcPr>
            <w:tcW w:w="5689" w:type="dxa"/>
            <w:shd w:val="clear" w:color="auto" w:fill="auto"/>
            <w:vAlign w:val="center"/>
          </w:tcPr>
          <w:p w14:paraId="58F84925">
            <w:pPr>
              <w:pageBreakBefore w:val="0"/>
              <w:kinsoku w:val="0"/>
              <w:wordWrap/>
              <w:overflowPunct/>
              <w:topLinePunct w:val="0"/>
              <w:autoSpaceDE w:val="0"/>
              <w:autoSpaceDN w:val="0"/>
              <w:bidi w:val="0"/>
              <w:adjustRightInd w:val="0"/>
              <w:snapToGrid w:val="0"/>
              <w:spacing w:line="222"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sz w:val="24"/>
                <w:szCs w:val="24"/>
                <w:lang w:val="en-US" w:eastAsia="zh-CN" w:bidi="ar-SA"/>
              </w:rPr>
              <w:t>江苏省农业生产全程全面机械化示范县</w:t>
            </w:r>
          </w:p>
        </w:tc>
        <w:tc>
          <w:tcPr>
            <w:tcW w:w="1336" w:type="dxa"/>
            <w:shd w:val="clear" w:color="auto" w:fill="auto"/>
            <w:vAlign w:val="center"/>
          </w:tcPr>
          <w:p w14:paraId="019139EE">
            <w:pPr>
              <w:pageBreakBefore w:val="0"/>
              <w:kinsoku w:val="0"/>
              <w:wordWrap/>
              <w:overflowPunct/>
              <w:topLinePunct w:val="0"/>
              <w:autoSpaceDE w:val="0"/>
              <w:autoSpaceDN w:val="0"/>
              <w:bidi w:val="0"/>
              <w:adjustRightInd w:val="0"/>
              <w:snapToGrid w:val="0"/>
              <w:spacing w:line="222"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0"/>
                <w:sz w:val="24"/>
                <w:szCs w:val="24"/>
                <w:lang w:val="en-US" w:eastAsia="en-US" w:bidi="ar-SA"/>
              </w:rPr>
              <w:t>省级</w:t>
            </w:r>
          </w:p>
        </w:tc>
      </w:tr>
      <w:tr w14:paraId="3A250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1092" w:type="dxa"/>
            <w:shd w:val="clear" w:color="auto" w:fill="F1F1F1" w:themeFill="background1" w:themeFillShade="F2"/>
            <w:vAlign w:val="center"/>
          </w:tcPr>
          <w:p w14:paraId="5F3B5DB2">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pacing w:val="-2"/>
                <w:position w:val="1"/>
                <w:sz w:val="24"/>
                <w:szCs w:val="24"/>
                <w:lang w:val="en-US" w:eastAsia="zh-CN"/>
              </w:rPr>
            </w:pPr>
            <w:r>
              <w:rPr>
                <w:rFonts w:hint="default" w:ascii="Times New Roman" w:hAnsi="Times New Roman" w:eastAsia="宋体" w:cs="Times New Roman"/>
                <w:snapToGrid w:val="0"/>
                <w:color w:val="auto"/>
                <w:spacing w:val="-2"/>
                <w:position w:val="1"/>
                <w:sz w:val="24"/>
                <w:szCs w:val="24"/>
                <w:lang w:val="en-US" w:eastAsia="zh-CN"/>
              </w:rPr>
              <w:t>28</w:t>
            </w:r>
          </w:p>
        </w:tc>
        <w:tc>
          <w:tcPr>
            <w:tcW w:w="1334" w:type="dxa"/>
            <w:shd w:val="clear" w:color="auto" w:fill="F1F1F1" w:themeFill="background1" w:themeFillShade="F2"/>
            <w:vAlign w:val="center"/>
          </w:tcPr>
          <w:p w14:paraId="5825FC16">
            <w:pPr>
              <w:pageBreakBefore w:val="0"/>
              <w:kinsoku w:val="0"/>
              <w:wordWrap/>
              <w:overflowPunct/>
              <w:topLinePunct w:val="0"/>
              <w:autoSpaceDE w:val="0"/>
              <w:autoSpaceDN w:val="0"/>
              <w:bidi w:val="0"/>
              <w:adjustRightInd w:val="0"/>
              <w:snapToGrid w:val="0"/>
              <w:spacing w:line="315" w:lineRule="exact"/>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2"/>
                <w:position w:val="1"/>
                <w:sz w:val="24"/>
                <w:szCs w:val="24"/>
                <w:lang w:eastAsia="en-US"/>
              </w:rPr>
              <w:t>2021</w:t>
            </w:r>
          </w:p>
        </w:tc>
        <w:tc>
          <w:tcPr>
            <w:tcW w:w="5689" w:type="dxa"/>
            <w:shd w:val="clear" w:color="auto" w:fill="F1F1F1" w:themeFill="background1" w:themeFillShade="F2"/>
            <w:vAlign w:val="center"/>
          </w:tcPr>
          <w:p w14:paraId="4C4F6FC6">
            <w:pPr>
              <w:pageBreakBefore w:val="0"/>
              <w:kinsoku w:val="0"/>
              <w:wordWrap/>
              <w:overflowPunct/>
              <w:topLinePunct w:val="0"/>
              <w:autoSpaceDE w:val="0"/>
              <w:autoSpaceDN w:val="0"/>
              <w:bidi w:val="0"/>
              <w:adjustRightInd w:val="0"/>
              <w:snapToGrid w:val="0"/>
              <w:spacing w:line="222" w:lineRule="auto"/>
              <w:ind w:left="0" w:leftChars="0" w:firstLine="476" w:firstLineChars="200"/>
              <w:jc w:val="center"/>
              <w:textAlignment w:val="baseline"/>
              <w:rPr>
                <w:rFonts w:hint="default" w:ascii="Times New Roman" w:hAnsi="Times New Roman" w:eastAsia="宋体" w:cs="Times New Roman"/>
                <w:snapToGrid w:val="0"/>
                <w:color w:val="auto"/>
                <w:sz w:val="24"/>
                <w:szCs w:val="24"/>
                <w:lang w:val="en-US" w:eastAsia="zh-CN" w:bidi="ar-SA"/>
              </w:rPr>
            </w:pPr>
            <w:r>
              <w:rPr>
                <w:rFonts w:hint="default" w:ascii="Times New Roman" w:hAnsi="Times New Roman" w:eastAsia="宋体" w:cs="Times New Roman"/>
                <w:snapToGrid w:val="0"/>
                <w:color w:val="auto"/>
                <w:spacing w:val="-1"/>
                <w:sz w:val="24"/>
                <w:szCs w:val="24"/>
                <w:lang w:val="en-US" w:eastAsia="zh-CN" w:bidi="ar-SA"/>
              </w:rPr>
              <w:t>养老保险扩面征收真抓实干成效明显地区</w:t>
            </w:r>
          </w:p>
        </w:tc>
        <w:tc>
          <w:tcPr>
            <w:tcW w:w="1336" w:type="dxa"/>
            <w:shd w:val="clear" w:color="auto" w:fill="F1F1F1" w:themeFill="background1" w:themeFillShade="F2"/>
            <w:vAlign w:val="center"/>
          </w:tcPr>
          <w:p w14:paraId="251E9C05">
            <w:pPr>
              <w:pageBreakBefore w:val="0"/>
              <w:kinsoku w:val="0"/>
              <w:wordWrap/>
              <w:overflowPunct/>
              <w:topLinePunct w:val="0"/>
              <w:autoSpaceDE w:val="0"/>
              <w:autoSpaceDN w:val="0"/>
              <w:bidi w:val="0"/>
              <w:adjustRightInd w:val="0"/>
              <w:snapToGrid w:val="0"/>
              <w:spacing w:line="222" w:lineRule="auto"/>
              <w:ind w:left="0" w:leftChars="0" w:firstLine="0" w:firstLineChars="0"/>
              <w:jc w:val="center"/>
              <w:textAlignment w:val="baseline"/>
              <w:rPr>
                <w:rFonts w:hint="default" w:ascii="Times New Roman" w:hAnsi="Times New Roman" w:eastAsia="宋体" w:cs="Times New Roman"/>
                <w:snapToGrid w:val="0"/>
                <w:color w:val="auto"/>
                <w:sz w:val="24"/>
                <w:szCs w:val="24"/>
                <w:lang w:val="en-US" w:eastAsia="en-US" w:bidi="ar-SA"/>
              </w:rPr>
            </w:pPr>
            <w:r>
              <w:rPr>
                <w:rFonts w:hint="default" w:ascii="Times New Roman" w:hAnsi="Times New Roman" w:eastAsia="宋体" w:cs="Times New Roman"/>
                <w:snapToGrid w:val="0"/>
                <w:color w:val="auto"/>
                <w:spacing w:val="-10"/>
                <w:sz w:val="24"/>
                <w:szCs w:val="24"/>
                <w:lang w:val="en-US" w:eastAsia="en-US" w:bidi="ar-SA"/>
              </w:rPr>
              <w:t>省级</w:t>
            </w:r>
          </w:p>
        </w:tc>
      </w:tr>
    </w:tbl>
    <w:p w14:paraId="14F71252">
      <w:pPr>
        <w:pStyle w:val="9"/>
        <w:ind w:left="0" w:leftChars="0" w:firstLine="0" w:firstLineChars="0"/>
        <w:rPr>
          <w:rFonts w:hint="default" w:ascii="Times New Roman" w:hAnsi="Times New Roman" w:eastAsia="宋体" w:cs="Times New Roman"/>
          <w:color w:val="auto"/>
          <w:sz w:val="24"/>
          <w:szCs w:val="24"/>
          <w:lang w:val="en-US" w:eastAsia="zh-CN"/>
        </w:rPr>
      </w:pPr>
      <w:bookmarkStart w:id="8" w:name="_Toc1706309287"/>
    </w:p>
    <w:p w14:paraId="04E728BE">
      <w:pPr>
        <w:pStyle w:val="4"/>
        <w:pageBreakBefore w:val="0"/>
        <w:wordWrap/>
        <w:overflowPunct/>
        <w:topLinePunct w:val="0"/>
        <w:bidi w:val="0"/>
        <w:ind w:left="0" w:leftChars="0" w:firstLine="320" w:firstLineChars="100"/>
        <w:rPr>
          <w:rFonts w:hint="default" w:ascii="Times New Roman" w:hAnsi="Times New Roman" w:eastAsia="仿宋_GB2312" w:cs="Times New Roman"/>
          <w:color w:val="auto"/>
          <w:lang w:val="en-US" w:eastAsia="zh-CN"/>
        </w:rPr>
      </w:pPr>
      <w:bookmarkStart w:id="9" w:name="_Toc29895"/>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二</w:t>
      </w:r>
      <w:r>
        <w:rPr>
          <w:rFonts w:hint="default" w:ascii="Times New Roman" w:hAnsi="Times New Roman" w:cs="Times New Roman"/>
          <w:color w:val="auto"/>
          <w:lang w:eastAsia="zh-CN"/>
        </w:rPr>
        <w:t>）</w:t>
      </w:r>
      <w:bookmarkEnd w:id="8"/>
      <w:r>
        <w:rPr>
          <w:rFonts w:hint="default" w:ascii="Times New Roman" w:hAnsi="Times New Roman" w:cs="Times New Roman"/>
          <w:color w:val="auto"/>
          <w:lang w:val="en-US" w:eastAsia="zh-CN"/>
        </w:rPr>
        <w:t>存在不足</w:t>
      </w:r>
      <w:bookmarkEnd w:id="9"/>
    </w:p>
    <w:p w14:paraId="512A8214">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“十四五”期间海门农业农村经济社会取得了长足的发展，为“十五五”发展积蓄了关键动能，但也呈现一定的</w:t>
      </w:r>
      <w:r>
        <w:rPr>
          <w:rFonts w:hint="default" w:ascii="Times New Roman" w:hAnsi="Times New Roman" w:cs="Times New Roman"/>
          <w:color w:val="auto"/>
          <w:lang w:val="en-US" w:eastAsia="zh-CN"/>
        </w:rPr>
        <w:t>短板弱项</w:t>
      </w:r>
      <w:r>
        <w:rPr>
          <w:rFonts w:hint="default" w:ascii="Times New Roman" w:hAnsi="Times New Roman" w:cs="Times New Roman"/>
          <w:color w:val="auto"/>
        </w:rPr>
        <w:t>，具体表现在以下四个方面。</w:t>
      </w:r>
    </w:p>
    <w:p w14:paraId="3AE04025">
      <w:pPr>
        <w:pageBreakBefore w:val="0"/>
        <w:numPr>
          <w:ilvl w:val="0"/>
          <w:numId w:val="0"/>
        </w:numPr>
        <w:wordWrap/>
        <w:overflowPunct/>
        <w:topLinePunct w:val="0"/>
        <w:bidi w:val="0"/>
        <w:ind w:left="0" w:leftChars="0" w:firstLine="643" w:firstLineChars="200"/>
        <w:rPr>
          <w:rFonts w:hint="default" w:ascii="Times New Roman" w:hAnsi="Times New Roman" w:cs="Times New Roman"/>
          <w:color w:val="auto"/>
          <w:lang w:eastAsia="zh-CN"/>
        </w:rPr>
      </w:pPr>
      <w:bookmarkStart w:id="10" w:name="_Toc1408901665"/>
      <w:r>
        <w:rPr>
          <w:rFonts w:hint="default" w:ascii="Times New Roman" w:hAnsi="Times New Roman" w:cs="Times New Roman"/>
          <w:b/>
          <w:bCs/>
          <w:color w:val="auto"/>
        </w:rPr>
        <w:t>农业强的基础尚不牢固</w:t>
      </w:r>
      <w:bookmarkEnd w:id="10"/>
      <w:r>
        <w:rPr>
          <w:rFonts w:hint="default" w:ascii="Times New Roman" w:hAnsi="Times New Roman" w:cs="Times New Roman"/>
          <w:b/>
          <w:bCs/>
          <w:color w:val="auto"/>
        </w:rPr>
        <w:t>。</w:t>
      </w:r>
      <w:bookmarkStart w:id="11" w:name="_Toc1255591833"/>
      <w:r>
        <w:rPr>
          <w:rFonts w:hint="default" w:ascii="Times New Roman" w:hAnsi="Times New Roman" w:cs="Times New Roman"/>
          <w:color w:val="auto"/>
          <w:lang w:eastAsia="zh-CN"/>
        </w:rPr>
        <w:t>农业生产经营的综合效益与劳动生产率仍有较大提升空间。</w:t>
      </w:r>
      <w:r>
        <w:rPr>
          <w:rFonts w:hint="default" w:ascii="Times New Roman" w:hAnsi="Times New Roman" w:cs="Times New Roman"/>
          <w:color w:val="auto"/>
          <w:lang w:val="en-US" w:eastAsia="zh-CN"/>
        </w:rPr>
        <w:t>农业科技自主创新能力偏弱，关键核心技术支撑不足。</w:t>
      </w:r>
      <w:r>
        <w:rPr>
          <w:rFonts w:hint="default" w:ascii="Times New Roman" w:hAnsi="Times New Roman" w:cs="Times New Roman"/>
          <w:color w:val="auto"/>
        </w:rPr>
        <w:t>农业产业体系完善，</w:t>
      </w:r>
      <w:r>
        <w:rPr>
          <w:rFonts w:hint="default" w:ascii="Times New Roman" w:hAnsi="Times New Roman" w:cs="Times New Roman"/>
          <w:color w:val="auto"/>
          <w:lang w:eastAsia="zh-CN"/>
        </w:rPr>
        <w:t>乡村产业整体规模不大</w:t>
      </w:r>
      <w:r>
        <w:rPr>
          <w:rFonts w:hint="default" w:ascii="Times New Roman" w:hAnsi="Times New Roman" w:cs="Times New Roman"/>
          <w:color w:val="auto"/>
        </w:rPr>
        <w:t>，头部企业不多</w:t>
      </w:r>
      <w:r>
        <w:rPr>
          <w:rFonts w:hint="default" w:ascii="Times New Roman" w:hAnsi="Times New Roman" w:cs="Times New Roman"/>
          <w:color w:val="auto"/>
          <w:lang w:eastAsia="zh-CN"/>
        </w:rPr>
        <w:t>，农产品加工以初加工为主，</w:t>
      </w:r>
      <w:r>
        <w:rPr>
          <w:rFonts w:hint="default" w:ascii="Times New Roman" w:hAnsi="Times New Roman" w:cs="Times New Roman"/>
          <w:color w:val="auto"/>
        </w:rPr>
        <w:t>精深加工能力不足</w:t>
      </w:r>
      <w:r>
        <w:rPr>
          <w:rFonts w:hint="default" w:ascii="Times New Roman" w:hAnsi="Times New Roman" w:cs="Times New Roman"/>
          <w:color w:val="auto"/>
          <w:lang w:eastAsia="zh-CN"/>
        </w:rPr>
        <w:t>，市场占有率有限</w:t>
      </w:r>
      <w:r>
        <w:rPr>
          <w:rFonts w:hint="default" w:ascii="Times New Roman" w:hAnsi="Times New Roman" w:cs="Times New Roman"/>
          <w:color w:val="auto"/>
        </w:rPr>
        <w:t>，产业链整体效益不高</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农文旅融合发展中乡村运营不足</w:t>
      </w:r>
      <w:r>
        <w:rPr>
          <w:rFonts w:hint="default" w:ascii="Times New Roman" w:hAnsi="Times New Roman" w:cs="Times New Roman"/>
          <w:color w:val="auto"/>
        </w:rPr>
        <w:t>。</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海门山羊”</w:t>
      </w:r>
      <w:r>
        <w:rPr>
          <w:rFonts w:hint="default" w:ascii="Times New Roman" w:hAnsi="Times New Roman" w:cs="Times New Roman"/>
          <w:color w:val="auto"/>
          <w:highlight w:val="none"/>
        </w:rPr>
        <w:t>“海门黄鸡”</w:t>
      </w:r>
      <w:r>
        <w:rPr>
          <w:rFonts w:hint="default" w:ascii="Times New Roman" w:hAnsi="Times New Roman" w:cs="Times New Roman"/>
          <w:color w:val="auto"/>
          <w:lang w:eastAsia="zh-CN"/>
        </w:rPr>
        <w:t>区域公用品牌</w:t>
      </w:r>
      <w:r>
        <w:rPr>
          <w:rFonts w:hint="default" w:ascii="Times New Roman" w:hAnsi="Times New Roman" w:cs="Times New Roman"/>
          <w:color w:val="auto"/>
          <w:highlight w:val="none"/>
          <w:lang w:val="en-US" w:eastAsia="zh-CN"/>
        </w:rPr>
        <w:t>的</w:t>
      </w:r>
      <w:r>
        <w:rPr>
          <w:rFonts w:hint="default" w:ascii="Times New Roman" w:hAnsi="Times New Roman" w:cs="Times New Roman"/>
          <w:color w:val="auto"/>
        </w:rPr>
        <w:t>市场影响力和溢价能力尚未完全形成</w:t>
      </w:r>
      <w:r>
        <w:rPr>
          <w:rFonts w:hint="default" w:ascii="Times New Roman" w:hAnsi="Times New Roman" w:cs="Times New Roman"/>
          <w:color w:val="auto"/>
          <w:lang w:eastAsia="zh-CN"/>
        </w:rPr>
        <w:t>，知名度与价值感有待提升。“沪海同城”的消费认同尚未完全形成，产品供给与上海市场对高品质、高“鲜度”的需求仍存在差距；农产品品牌体系尚未健全，联农带农机制不够完善、带动能力偏弱。人均耕地资源紧张，</w:t>
      </w:r>
      <w:r>
        <w:rPr>
          <w:rFonts w:hint="default" w:ascii="Times New Roman" w:hAnsi="Times New Roman" w:cs="Times New Roman"/>
          <w:color w:val="auto"/>
        </w:rPr>
        <w:t>资源环境刚性约束逐步趋紧</w:t>
      </w:r>
      <w:r>
        <w:rPr>
          <w:rFonts w:hint="default" w:ascii="Times New Roman" w:hAnsi="Times New Roman" w:cs="Times New Roman"/>
          <w:color w:val="auto"/>
          <w:lang w:eastAsia="zh-CN"/>
        </w:rPr>
        <w:t>，未建高标准农田中永久基本农田区呈现区域碎片化、零星化分布，农田集中治理</w:t>
      </w:r>
      <w:r>
        <w:rPr>
          <w:rFonts w:hint="default" w:ascii="Times New Roman" w:hAnsi="Times New Roman" w:cs="Times New Roman"/>
          <w:strike w:val="0"/>
          <w:dstrike w:val="0"/>
          <w:color w:val="auto"/>
          <w:lang w:eastAsia="zh-CN"/>
        </w:rPr>
        <w:t>难度加大。</w:t>
      </w:r>
      <w:r>
        <w:rPr>
          <w:rFonts w:hint="default" w:ascii="Times New Roman" w:hAnsi="Times New Roman" w:cs="Times New Roman"/>
          <w:color w:val="auto"/>
          <w:lang w:eastAsia="zh-CN"/>
        </w:rPr>
        <w:t>农业生产抵御自然风险与市场波动能力不强，动植物疫病防控压力持续存在。</w:t>
      </w:r>
    </w:p>
    <w:p w14:paraId="5D45EBC2">
      <w:pPr>
        <w:pageBreakBefore w:val="0"/>
        <w:wordWrap/>
        <w:overflowPunct/>
        <w:topLinePunct w:val="0"/>
        <w:bidi w:val="0"/>
        <w:ind w:left="0" w:leftChars="0"/>
        <w:rPr>
          <w:rFonts w:hint="default" w:ascii="Times New Roman" w:hAnsi="Times New Roman" w:cs="Times New Roman"/>
          <w:color w:val="auto"/>
          <w:lang w:eastAsia="zh-CN"/>
        </w:rPr>
      </w:pPr>
      <w:r>
        <w:rPr>
          <w:rFonts w:hint="default" w:ascii="Times New Roman" w:hAnsi="Times New Roman" w:cs="Times New Roman"/>
          <w:b/>
          <w:bCs/>
          <w:color w:val="auto"/>
        </w:rPr>
        <w:t>农村美的</w:t>
      </w:r>
      <w:r>
        <w:rPr>
          <w:rFonts w:hint="default" w:ascii="Times New Roman" w:hAnsi="Times New Roman" w:cs="Times New Roman"/>
          <w:b/>
          <w:bCs/>
          <w:color w:val="auto"/>
          <w:lang w:eastAsia="zh-CN"/>
        </w:rPr>
        <w:t>机制</w:t>
      </w:r>
      <w:r>
        <w:rPr>
          <w:rFonts w:hint="default" w:ascii="Times New Roman" w:hAnsi="Times New Roman" w:cs="Times New Roman"/>
          <w:b/>
          <w:bCs/>
          <w:color w:val="auto"/>
        </w:rPr>
        <w:t>有待</w:t>
      </w:r>
      <w:bookmarkEnd w:id="11"/>
      <w:r>
        <w:rPr>
          <w:rFonts w:hint="default" w:ascii="Times New Roman" w:hAnsi="Times New Roman" w:cs="Times New Roman"/>
          <w:b/>
          <w:bCs/>
          <w:color w:val="auto"/>
          <w:lang w:eastAsia="zh-CN"/>
        </w:rPr>
        <w:t>健全</w:t>
      </w:r>
      <w:r>
        <w:rPr>
          <w:rFonts w:hint="default" w:ascii="Times New Roman" w:hAnsi="Times New Roman" w:cs="Times New Roman"/>
          <w:b/>
          <w:bCs/>
          <w:color w:val="auto"/>
        </w:rPr>
        <w:t>。</w:t>
      </w:r>
      <w:r>
        <w:rPr>
          <w:rFonts w:hint="default" w:ascii="Times New Roman" w:hAnsi="Times New Roman" w:cs="Times New Roman"/>
          <w:color w:val="auto"/>
          <w:lang w:eastAsia="zh-CN"/>
        </w:rPr>
        <w:t>农村基础设施和公共服务存在短板，人居环境整治提升的长效管理机制尚不完善。城乡要素双向自由流动仍面临壁垒，农村建设用地市场化配置程度较低，“用地难”问题较为普遍，以宜居宜业和美乡村建设为</w:t>
      </w:r>
      <w:r>
        <w:rPr>
          <w:rFonts w:hint="eastAsia" w:ascii="Times New Roman" w:hAnsi="Times New Roman" w:cs="Times New Roman"/>
          <w:color w:val="auto"/>
          <w:lang w:eastAsia="zh-CN"/>
        </w:rPr>
        <w:t>重点</w:t>
      </w:r>
      <w:r>
        <w:rPr>
          <w:rFonts w:hint="default" w:ascii="Times New Roman" w:hAnsi="Times New Roman" w:cs="Times New Roman"/>
          <w:color w:val="auto"/>
          <w:lang w:eastAsia="zh-CN"/>
        </w:rPr>
        <w:t>的乡村运营</w:t>
      </w:r>
      <w:r>
        <w:rPr>
          <w:rFonts w:hint="eastAsia" w:ascii="Times New Roman" w:hAnsi="Times New Roman" w:cs="Times New Roman"/>
          <w:color w:val="auto"/>
          <w:lang w:eastAsia="zh-CN"/>
        </w:rPr>
        <w:t>不足</w:t>
      </w:r>
      <w:r>
        <w:rPr>
          <w:rFonts w:hint="default" w:ascii="Times New Roman" w:hAnsi="Times New Roman" w:cs="Times New Roman"/>
          <w:color w:val="auto"/>
          <w:lang w:eastAsia="zh-CN"/>
        </w:rPr>
        <w:t>，乡村内生动力与持久魅力</w:t>
      </w:r>
      <w:r>
        <w:rPr>
          <w:rFonts w:hint="eastAsia" w:ascii="Times New Roman" w:hAnsi="Times New Roman" w:cs="Times New Roman"/>
          <w:color w:val="auto"/>
          <w:lang w:eastAsia="zh-CN"/>
        </w:rPr>
        <w:t>不够</w:t>
      </w:r>
      <w:r>
        <w:rPr>
          <w:rFonts w:hint="default" w:ascii="Times New Roman" w:hAnsi="Times New Roman" w:cs="Times New Roman"/>
          <w:color w:val="auto"/>
          <w:lang w:eastAsia="zh-CN"/>
        </w:rPr>
        <w:t>。</w:t>
      </w:r>
    </w:p>
    <w:p w14:paraId="13689778">
      <w:pPr>
        <w:pageBreakBefore w:val="0"/>
        <w:wordWrap/>
        <w:overflowPunct/>
        <w:topLinePunct w:val="0"/>
        <w:bidi w:val="0"/>
        <w:ind w:left="0" w:leftChars="0"/>
        <w:rPr>
          <w:rFonts w:hint="default" w:ascii="Times New Roman" w:hAnsi="Times New Roman" w:cs="Times New Roman"/>
          <w:color w:val="auto"/>
          <w:lang w:eastAsia="zh-CN"/>
        </w:rPr>
      </w:pPr>
      <w:bookmarkStart w:id="12" w:name="_Toc1557621809"/>
      <w:r>
        <w:rPr>
          <w:rFonts w:hint="default" w:ascii="Times New Roman" w:hAnsi="Times New Roman" w:cs="Times New Roman"/>
          <w:b/>
          <w:bCs/>
          <w:color w:val="auto"/>
        </w:rPr>
        <w:t>农民富的动力</w:t>
      </w:r>
      <w:r>
        <w:rPr>
          <w:rFonts w:hint="default" w:ascii="Times New Roman" w:hAnsi="Times New Roman" w:cs="Times New Roman"/>
          <w:b/>
          <w:bCs/>
          <w:color w:val="auto"/>
          <w:lang w:eastAsia="zh-CN"/>
        </w:rPr>
        <w:t>稍</w:t>
      </w:r>
      <w:r>
        <w:rPr>
          <w:rFonts w:hint="default" w:ascii="Times New Roman" w:hAnsi="Times New Roman" w:cs="Times New Roman"/>
          <w:b/>
          <w:bCs/>
          <w:color w:val="auto"/>
        </w:rPr>
        <w:t>显不足</w:t>
      </w:r>
      <w:bookmarkEnd w:id="12"/>
      <w:r>
        <w:rPr>
          <w:rFonts w:hint="default" w:ascii="Times New Roman" w:hAnsi="Times New Roman" w:cs="Times New Roman"/>
          <w:b/>
          <w:bCs/>
          <w:color w:val="auto"/>
        </w:rPr>
        <w:t>。</w:t>
      </w:r>
      <w:r>
        <w:rPr>
          <w:rFonts w:hint="default" w:ascii="Times New Roman" w:hAnsi="Times New Roman" w:cs="Times New Roman"/>
          <w:color w:val="auto"/>
          <w:lang w:eastAsia="zh-CN"/>
        </w:rPr>
        <w:t>种养业特别是粮食种植效益偏低，乡村劳动力稳定就业难度较大，农民收入增长的传统动能减弱，新动能尚未完全形成。受宏观经济环境影响，村集体与农民增收渠道收窄，农村居民人均可支配收入</w:t>
      </w:r>
      <w:r>
        <w:rPr>
          <w:rFonts w:hint="eastAsia" w:ascii="Times New Roman" w:hAnsi="Times New Roman" w:cs="Times New Roman"/>
          <w:color w:val="auto"/>
          <w:lang w:eastAsia="zh-CN"/>
        </w:rPr>
        <w:t>与</w:t>
      </w:r>
      <w:r>
        <w:rPr>
          <w:rFonts w:hint="default" w:ascii="Times New Roman" w:hAnsi="Times New Roman" w:cs="Times New Roman"/>
          <w:color w:val="auto"/>
          <w:lang w:eastAsia="zh-CN"/>
        </w:rPr>
        <w:t>“十四五”预期目标</w:t>
      </w:r>
      <w:r>
        <w:rPr>
          <w:rFonts w:hint="eastAsia" w:ascii="Times New Roman" w:hAnsi="Times New Roman" w:cs="Times New Roman"/>
          <w:color w:val="auto"/>
          <w:lang w:eastAsia="zh-CN"/>
        </w:rPr>
        <w:t>有差距</w:t>
      </w:r>
      <w:r>
        <w:rPr>
          <w:rFonts w:hint="default" w:ascii="Times New Roman" w:hAnsi="Times New Roman" w:cs="Times New Roman"/>
          <w:color w:val="auto"/>
          <w:lang w:eastAsia="zh-CN"/>
        </w:rPr>
        <w:t>，农户家庭恩格尔系数的达标难度</w:t>
      </w:r>
      <w:r>
        <w:rPr>
          <w:rFonts w:hint="eastAsia" w:ascii="Times New Roman" w:hAnsi="Times New Roman" w:cs="Times New Roman"/>
          <w:color w:val="auto"/>
          <w:lang w:eastAsia="zh-CN"/>
        </w:rPr>
        <w:t>加大</w:t>
      </w:r>
      <w:r>
        <w:rPr>
          <w:rFonts w:hint="default" w:ascii="Times New Roman" w:hAnsi="Times New Roman" w:cs="Times New Roman"/>
          <w:color w:val="auto"/>
          <w:lang w:eastAsia="zh-CN"/>
        </w:rPr>
        <w:t>。</w:t>
      </w:r>
    </w:p>
    <w:p w14:paraId="1F945811">
      <w:pPr>
        <w:pageBreakBefore w:val="0"/>
        <w:wordWrap/>
        <w:overflowPunct/>
        <w:topLinePunct w:val="0"/>
        <w:bidi w:val="0"/>
        <w:ind w:left="0" w:leftChars="0"/>
        <w:rPr>
          <w:rFonts w:hint="default" w:ascii="Times New Roman" w:hAnsi="Times New Roman" w:cs="Times New Roman"/>
          <w:color w:val="auto"/>
          <w:lang w:eastAsia="zh-CN"/>
        </w:rPr>
      </w:pPr>
      <w:r>
        <w:rPr>
          <w:rFonts w:hint="default" w:ascii="Times New Roman" w:hAnsi="Times New Roman" w:cs="Times New Roman"/>
          <w:b/>
          <w:bCs/>
          <w:color w:val="auto"/>
        </w:rPr>
        <w:t>城乡融合发展还有差距。</w:t>
      </w:r>
      <w:r>
        <w:rPr>
          <w:rFonts w:hint="default" w:ascii="Times New Roman" w:hAnsi="Times New Roman" w:cs="Times New Roman"/>
          <w:color w:val="auto"/>
          <w:lang w:eastAsia="zh-CN"/>
        </w:rPr>
        <w:t>统筹新型城镇化与乡村全面振兴的体制机制尚未完全理顺。城乡居民收入绝对差距依然明显，在经济增速放缓背景下，收入倍差的稳定性面临挑战，对城乡融合与社会稳定构成潜在压力。农村在</w:t>
      </w:r>
      <w:r>
        <w:rPr>
          <w:rFonts w:hint="default" w:ascii="Times New Roman" w:hAnsi="Times New Roman" w:cs="Times New Roman"/>
          <w:color w:val="auto"/>
          <w:lang w:val="en-US" w:eastAsia="zh-CN"/>
        </w:rPr>
        <w:t>基础设施、</w:t>
      </w:r>
      <w:r>
        <w:rPr>
          <w:rFonts w:hint="default" w:ascii="Times New Roman" w:hAnsi="Times New Roman" w:cs="Times New Roman"/>
          <w:color w:val="auto"/>
          <w:lang w:eastAsia="zh-CN"/>
        </w:rPr>
        <w:t>教育医疗养老等基本公共服务的质量、覆盖面和可及性上，与城</w:t>
      </w:r>
      <w:r>
        <w:rPr>
          <w:rFonts w:hint="default" w:ascii="Times New Roman" w:hAnsi="Times New Roman" w:cs="Times New Roman"/>
          <w:color w:val="auto"/>
          <w:lang w:val="en-US" w:eastAsia="zh-CN"/>
        </w:rPr>
        <w:t>镇</w:t>
      </w:r>
      <w:r>
        <w:rPr>
          <w:rFonts w:hint="default" w:ascii="Times New Roman" w:hAnsi="Times New Roman" w:cs="Times New Roman"/>
          <w:color w:val="auto"/>
          <w:lang w:eastAsia="zh-CN"/>
        </w:rPr>
        <w:t>相比仍存在差距。</w:t>
      </w:r>
    </w:p>
    <w:p w14:paraId="532916B6">
      <w:pPr>
        <w:pStyle w:val="4"/>
        <w:pageBreakBefore w:val="0"/>
        <w:wordWrap/>
        <w:overflowPunct/>
        <w:topLinePunct w:val="0"/>
        <w:bidi w:val="0"/>
        <w:ind w:left="0" w:leftChars="0"/>
        <w:rPr>
          <w:rFonts w:hint="default" w:ascii="Times New Roman" w:hAnsi="Times New Roman" w:cs="Times New Roman"/>
          <w:color w:val="auto"/>
        </w:rPr>
      </w:pPr>
      <w:bookmarkStart w:id="13" w:name="_Toc443564571"/>
      <w:bookmarkStart w:id="14" w:name="_Toc12256"/>
      <w:r>
        <w:rPr>
          <w:rFonts w:hint="default" w:ascii="Times New Roman" w:hAnsi="Times New Roman" w:cs="Times New Roman"/>
          <w:color w:val="auto"/>
        </w:rPr>
        <w:t>（</w:t>
      </w:r>
      <w:r>
        <w:rPr>
          <w:rFonts w:hint="default" w:ascii="Times New Roman" w:hAnsi="Times New Roman" w:cs="Times New Roman"/>
          <w:color w:val="auto"/>
          <w:lang w:val="en-US" w:eastAsia="zh-CN"/>
        </w:rPr>
        <w:t>三</w:t>
      </w:r>
      <w:r>
        <w:rPr>
          <w:rFonts w:hint="default" w:ascii="Times New Roman" w:hAnsi="Times New Roman" w:cs="Times New Roman"/>
          <w:color w:val="auto"/>
        </w:rPr>
        <w:t>）机遇</w:t>
      </w:r>
      <w:r>
        <w:rPr>
          <w:rFonts w:hint="default" w:ascii="Times New Roman" w:hAnsi="Times New Roman" w:cs="Times New Roman"/>
          <w:color w:val="auto"/>
          <w:lang w:eastAsia="zh-CN"/>
        </w:rPr>
        <w:t>与挑战</w:t>
      </w:r>
      <w:bookmarkEnd w:id="13"/>
      <w:bookmarkEnd w:id="14"/>
    </w:p>
    <w:p w14:paraId="4AC33858">
      <w:pPr>
        <w:pageBreakBefore w:val="0"/>
        <w:wordWrap/>
        <w:overflowPunct/>
        <w:topLinePunct w:val="0"/>
        <w:bidi w:val="0"/>
        <w:ind w:left="0" w:leftChars="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“十五五”时期，海门区农业农村发展仍处于重要战略机遇期，但机遇和挑战并存，需要准确把握发展环境的新变化、新趋势。</w:t>
      </w:r>
    </w:p>
    <w:p w14:paraId="7A6A6143">
      <w:pPr>
        <w:pageBreakBefore w:val="0"/>
        <w:wordWrap/>
        <w:overflowPunct/>
        <w:topLinePunct w:val="0"/>
        <w:bidi w:val="0"/>
        <w:ind w:left="0" w:leftChars="0"/>
        <w:rPr>
          <w:rFonts w:hint="default" w:ascii="Times New Roman" w:hAnsi="Times New Roman" w:cs="Times New Roman"/>
          <w:b w:val="0"/>
          <w:bCs w:val="0"/>
          <w:color w:val="auto"/>
          <w:lang w:val="en-US" w:eastAsia="zh-CN"/>
        </w:rPr>
      </w:pPr>
      <w:r>
        <w:rPr>
          <w:rFonts w:hint="default" w:ascii="Times New Roman" w:hAnsi="Times New Roman" w:eastAsia="楷体_GB2312" w:cs="Times New Roman"/>
          <w:b/>
          <w:bCs/>
          <w:color w:val="auto"/>
          <w:lang w:val="en-US" w:eastAsia="zh-CN"/>
        </w:rPr>
        <w:t>1.发展机遇</w:t>
      </w:r>
    </w:p>
    <w:p w14:paraId="641C1F9A">
      <w:pPr>
        <w:pageBreakBefore w:val="0"/>
        <w:wordWrap/>
        <w:overflowPunct/>
        <w:topLinePunct w:val="0"/>
        <w:bidi w:val="0"/>
        <w:ind w:left="0" w:leftChars="0"/>
        <w:rPr>
          <w:rFonts w:hint="default" w:ascii="Times New Roman" w:hAnsi="Times New Roman" w:cs="Times New Roman"/>
          <w:b w:val="0"/>
          <w:bCs w:val="0"/>
          <w:color w:val="auto"/>
          <w:lang w:val="en-US" w:eastAsia="zh-CN"/>
        </w:rPr>
      </w:pPr>
      <w:r>
        <w:rPr>
          <w:rFonts w:hint="default" w:ascii="Times New Roman" w:hAnsi="Times New Roman" w:cs="Times New Roman"/>
          <w:b/>
          <w:bCs/>
          <w:color w:val="auto"/>
          <w:lang w:val="en-US" w:eastAsia="zh-CN"/>
        </w:rPr>
        <w:t>从发展历程来看，</w:t>
      </w:r>
      <w:r>
        <w:rPr>
          <w:rFonts w:hint="default" w:ascii="Times New Roman" w:hAnsi="Times New Roman" w:cs="Times New Roman"/>
          <w:b w:val="0"/>
          <w:bCs w:val="0"/>
          <w:color w:val="auto"/>
          <w:lang w:val="en-US" w:eastAsia="zh-CN"/>
        </w:rPr>
        <w:t>农业不再局限于传统的农林牧渔生产，农林牧渔业比例在逐步变化，农产品加工业不断发展，农产品流通渠道逐渐拓宽，农业社会化服务也在逐步健全。党的十八大以来，农业发展聚焦高质量与可持续发展，粮食安全被提升至战略高度，乡村振兴推动农村一二三产业融合，产业链条不断延伸，农业正朝着现代化、绿色化、多元化的方向持续迈进；休闲农业、农产品电商蓬勃兴起，农业内部结构逐渐呈现多元化。党的二十大将加快农业农村现代化、推进乡村全面振兴和农业强国建设摆在重中之重的位置，更推动着农业农村迈上新台阶。农业新质生产力快速发展，正深刻改变着传统农业生产方式，无人机植保、设施农业、智慧农业等在生产中得到广泛应用，不仅大幅提升了农业生产效率，缓解乡村“老龄化”“空心化”约束，也为农业的绿色可持续发展注入了新动能。农业变化趋势表明了发展机遇，国家战略指明了发展方向，也要求海门农业生产适应变化，赶上时代步伐。浙江“千万工程”经验的引领，增强了发展信心。各级财政、金融、土地等支持政策，为农业农村现代化建设、全面乡村振兴实施提供了有利宏观环境。近年来海门深入推进农业供给侧结构性改革，持续优化种植养殖结构，挖掘农业多功能性，大力推进农业全产业链和数字农业建设等，为抓住机遇做好了充足的准备。</w:t>
      </w:r>
    </w:p>
    <w:p w14:paraId="29EE48F2">
      <w:pPr>
        <w:keepNext w:val="0"/>
        <w:keepLines w:val="0"/>
        <w:pageBreakBefore w:val="0"/>
        <w:widowControl/>
        <w:suppressLineNumbers w:val="0"/>
        <w:wordWrap/>
        <w:overflowPunct/>
        <w:topLinePunct w:val="0"/>
        <w:bidi w:val="0"/>
        <w:ind w:left="0" w:leftChars="0"/>
        <w:jc w:val="left"/>
        <w:rPr>
          <w:rFonts w:hint="default" w:ascii="Times New Roman" w:hAnsi="Times New Roman" w:cs="Times New Roman"/>
          <w:b w:val="0"/>
          <w:bCs w:val="0"/>
          <w:color w:val="auto"/>
          <w:lang w:val="en-US" w:eastAsia="zh-CN"/>
        </w:rPr>
      </w:pPr>
      <w:r>
        <w:rPr>
          <w:rFonts w:hint="default" w:ascii="Times New Roman" w:hAnsi="Times New Roman" w:cs="Times New Roman"/>
          <w:b/>
          <w:bCs/>
          <w:color w:val="auto"/>
          <w:lang w:val="en-US" w:eastAsia="zh-CN"/>
        </w:rPr>
        <w:t>从市场需求来看</w:t>
      </w:r>
      <w:r>
        <w:rPr>
          <w:rFonts w:hint="default" w:ascii="Times New Roman" w:hAnsi="Times New Roman" w:cs="Times New Roman"/>
          <w:b w:val="0"/>
          <w:bCs w:val="0"/>
          <w:color w:val="auto"/>
          <w:lang w:val="en-US" w:eastAsia="zh-CN"/>
        </w:rPr>
        <w:t>，农产品市场的需求也正在发生演变，对海门农业农村发展提出了更高的市场要求，也给予了更好的市场机遇。随着农产品供给逐步从短缺走向充裕，市场需求也从单一粮食转向多样化，品质化、多元化、便捷化需求全面升级，品质与安全成为需求核心；膳食结构多元化，牛羊肉、禽肉、蛋奶消费占比提升，大豆、杂粮、菌菇等健康食材需求显著上升；便捷化需求催生新品类，预制净菜在一线城市家庭渗透率不断提升，小包装、即食型农产品热销；流通需求升级，消费者对冷链运输、区块链溯源的农产品需求激增，数字化、新鲜度成为重要需求指标。</w:t>
      </w:r>
      <w:r>
        <w:rPr>
          <w:rFonts w:hint="default" w:ascii="Times New Roman" w:hAnsi="Times New Roman" w:cs="Times New Roman"/>
          <w:color w:val="auto"/>
        </w:rPr>
        <w:t>上海</w:t>
      </w:r>
      <w:r>
        <w:rPr>
          <w:rFonts w:hint="default" w:ascii="Times New Roman" w:hAnsi="Times New Roman" w:cs="Times New Roman"/>
          <w:color w:val="auto"/>
          <w:lang w:val="en-US" w:eastAsia="zh-CN"/>
        </w:rPr>
        <w:t>等长三角地区</w:t>
      </w:r>
      <w:r>
        <w:rPr>
          <w:rFonts w:hint="default" w:ascii="Times New Roman" w:hAnsi="Times New Roman" w:cs="Times New Roman"/>
          <w:color w:val="auto"/>
        </w:rPr>
        <w:t>每天</w:t>
      </w:r>
      <w:r>
        <w:rPr>
          <w:rFonts w:hint="default" w:ascii="Times New Roman" w:hAnsi="Times New Roman" w:cs="Times New Roman"/>
          <w:color w:val="auto"/>
          <w:lang w:val="en-US" w:eastAsia="zh-CN"/>
        </w:rPr>
        <w:t>对</w:t>
      </w:r>
      <w:r>
        <w:rPr>
          <w:rFonts w:hint="default" w:ascii="Times New Roman" w:hAnsi="Times New Roman" w:cs="Times New Roman"/>
          <w:color w:val="auto"/>
        </w:rPr>
        <w:t>农产品的需求巨大，对外部市场的需求强烈，</w:t>
      </w:r>
      <w:r>
        <w:rPr>
          <w:rFonts w:hint="default" w:ascii="Times New Roman" w:hAnsi="Times New Roman" w:cs="Times New Roman"/>
          <w:color w:val="auto"/>
          <w:lang w:val="en-US" w:eastAsia="zh-CN"/>
        </w:rPr>
        <w:t>对农产品质量要求也在不断提高</w:t>
      </w:r>
      <w:r>
        <w:rPr>
          <w:rFonts w:hint="default" w:ascii="Times New Roman" w:hAnsi="Times New Roman" w:cs="Times New Roman"/>
          <w:color w:val="auto"/>
        </w:rPr>
        <w:t>。</w:t>
      </w:r>
      <w:r>
        <w:rPr>
          <w:rFonts w:hint="default" w:ascii="Times New Roman" w:hAnsi="Times New Roman" w:cs="Times New Roman"/>
          <w:b w:val="0"/>
          <w:bCs w:val="0"/>
          <w:color w:val="auto"/>
          <w:sz w:val="30"/>
          <w:szCs w:val="30"/>
          <w:lang w:val="en-US" w:eastAsia="zh-CN"/>
        </w:rPr>
        <w:t>通</w:t>
      </w:r>
      <w:r>
        <w:rPr>
          <w:rFonts w:hint="default" w:ascii="Times New Roman" w:hAnsi="Times New Roman" w:cs="Times New Roman"/>
          <w:b w:val="0"/>
          <w:bCs w:val="0"/>
          <w:color w:val="auto"/>
          <w:lang w:val="en-US" w:eastAsia="zh-CN"/>
        </w:rPr>
        <w:t>过发展</w:t>
      </w:r>
      <w:r>
        <w:rPr>
          <w:rFonts w:hint="default" w:ascii="Times New Roman" w:hAnsi="Times New Roman" w:cs="Times New Roman"/>
          <w:color w:val="auto"/>
          <w:lang w:eastAsia="zh-CN"/>
        </w:rPr>
        <w:t>“</w:t>
      </w:r>
      <w:r>
        <w:rPr>
          <w:rFonts w:hint="default" w:ascii="Times New Roman" w:hAnsi="Times New Roman" w:cs="Times New Roman"/>
          <w:color w:val="auto"/>
        </w:rPr>
        <w:t>海门山羊</w:t>
      </w:r>
      <w:r>
        <w:rPr>
          <w:rFonts w:hint="default" w:ascii="Times New Roman" w:hAnsi="Times New Roman" w:cs="Times New Roman"/>
          <w:color w:val="auto"/>
          <w:lang w:eastAsia="zh-CN"/>
        </w:rPr>
        <w:t>”“海门黄鸡”“海门香芋”“海门大红袍赤豆”“万年香沙芋艿”“海门大白皮蚕豆”</w:t>
      </w:r>
      <w:r>
        <w:rPr>
          <w:rFonts w:hint="default" w:ascii="Times New Roman" w:hAnsi="Times New Roman" w:cs="Times New Roman"/>
          <w:color w:val="auto"/>
          <w:lang w:val="en-US" w:eastAsia="zh-CN"/>
        </w:rPr>
        <w:t>6大国家地理标志产品和</w:t>
      </w:r>
      <w:r>
        <w:rPr>
          <w:rFonts w:hint="default" w:ascii="Times New Roman" w:hAnsi="Times New Roman" w:cs="Times New Roman"/>
          <w:b w:val="0"/>
          <w:bCs w:val="0"/>
          <w:color w:val="auto"/>
          <w:lang w:val="en-US" w:eastAsia="zh-CN"/>
        </w:rPr>
        <w:t>“四色”宝豆、“四青”作物、“四特”蔬菜、“四特”瓜果等一批具有地方特色产品，让海门逐步成为上海等长三角地区的“大菜园”和优质农产品供应基地；也推动海门从“种养基地”到“绿色健康食品供应中心”的跨越，海门农产品的新鲜度和特色性在上海市场拥有一定的相对优势。</w:t>
      </w:r>
    </w:p>
    <w:p w14:paraId="447F9F82">
      <w:pPr>
        <w:pageBreakBefore w:val="0"/>
        <w:wordWrap/>
        <w:overflowPunct/>
        <w:topLinePunct w:val="0"/>
        <w:bidi w:val="0"/>
        <w:ind w:left="0" w:leftChars="0"/>
        <w:rPr>
          <w:rFonts w:hint="default" w:ascii="Times New Roman" w:hAnsi="Times New Roman" w:cs="Times New Roman"/>
          <w:b w:val="0"/>
          <w:bCs w:val="0"/>
          <w:color w:val="auto"/>
          <w:lang w:val="en-US" w:eastAsia="zh-CN"/>
        </w:rPr>
      </w:pPr>
      <w:r>
        <w:rPr>
          <w:rFonts w:hint="default" w:ascii="Times New Roman" w:hAnsi="Times New Roman" w:cs="Times New Roman"/>
          <w:b/>
          <w:bCs/>
          <w:color w:val="auto"/>
          <w:lang w:val="en-US" w:eastAsia="zh-CN"/>
        </w:rPr>
        <w:t>从区位优势来看，</w:t>
      </w:r>
      <w:r>
        <w:rPr>
          <w:rFonts w:hint="default" w:ascii="Times New Roman" w:hAnsi="Times New Roman" w:cs="Times New Roman"/>
          <w:color w:val="auto"/>
          <w:lang w:val="en-US" w:eastAsia="zh-CN"/>
        </w:rPr>
        <w:t>海门“通江通海通上海连南通主城”，在长三角一体化、上海“1+8”大都市圈建设等国家战略加持下，承接高端要素、跨区域产业协同的顶层设计日益完善。海太长江隧道、北沿江高铁、南通新机场等“海陆空”重大工程加速推进，</w:t>
      </w:r>
      <w:r>
        <w:rPr>
          <w:rFonts w:hint="eastAsia" w:ascii="Times New Roman" w:hAnsi="Times New Roman" w:cs="Times New Roman"/>
          <w:color w:val="auto"/>
          <w:lang w:val="en-US" w:eastAsia="zh-CN"/>
        </w:rPr>
        <w:t>海门加快成长为上海大都市圈“一小时经济圈”“半小时通勤圈”的重要节点城市，产业转移的叠加效应明显。随着南通城市副中心建设的深入推进，城乡要素正向高频高效的双向流动迈进，有力支撑了海门的城乡融合发展。</w:t>
      </w:r>
      <w:r>
        <w:rPr>
          <w:rFonts w:hint="default" w:ascii="Times New Roman" w:hAnsi="Times New Roman" w:cs="Times New Roman"/>
          <w:b w:val="0"/>
          <w:bCs w:val="0"/>
          <w:color w:val="auto"/>
          <w:lang w:val="en-US" w:eastAsia="zh-CN"/>
        </w:rPr>
        <w:t>海门可成为大都市人们周末缓解工作压力、休养生息的优选，也给予海门农文旅产业更广阔的发展前景。</w:t>
      </w:r>
    </w:p>
    <w:p w14:paraId="57476121">
      <w:pPr>
        <w:pageBreakBefore w:val="0"/>
        <w:wordWrap/>
        <w:overflowPunct/>
        <w:topLinePunct w:val="0"/>
        <w:bidi w:val="0"/>
        <w:ind w:left="0" w:leftChars="0"/>
        <w:rPr>
          <w:rFonts w:hint="default" w:ascii="Times New Roman" w:hAnsi="Times New Roman" w:eastAsia="楷体_GB2312" w:cs="Times New Roman"/>
          <w:b/>
          <w:bCs/>
          <w:color w:val="auto"/>
          <w:lang w:val="en-US" w:eastAsia="zh-CN"/>
        </w:rPr>
      </w:pPr>
      <w:r>
        <w:rPr>
          <w:rFonts w:hint="default" w:ascii="Times New Roman" w:hAnsi="Times New Roman" w:eastAsia="楷体_GB2312" w:cs="Times New Roman"/>
          <w:b/>
          <w:bCs/>
          <w:color w:val="auto"/>
          <w:lang w:val="en-US" w:eastAsia="zh-CN"/>
        </w:rPr>
        <w:t>2.面临挑战</w:t>
      </w:r>
    </w:p>
    <w:p w14:paraId="4AA0FB56">
      <w:pPr>
        <w:keepNext w:val="0"/>
        <w:keepLines w:val="0"/>
        <w:widowControl/>
        <w:suppressLineNumbers w:val="0"/>
        <w:jc w:val="left"/>
        <w:rPr>
          <w:rFonts w:hint="default" w:ascii="Times New Roman" w:hAnsi="Times New Roman" w:cs="Times New Roman"/>
          <w:color w:val="auto"/>
        </w:rPr>
      </w:pPr>
      <w:r>
        <w:rPr>
          <w:rFonts w:hint="default" w:ascii="Times New Roman" w:hAnsi="Times New Roman" w:cs="Times New Roman"/>
          <w:b/>
          <w:bCs/>
          <w:color w:val="auto"/>
          <w:lang w:val="en-US" w:eastAsia="zh-CN"/>
        </w:rPr>
        <w:t>宏观环境压力，稳定增收难度加大。</w:t>
      </w:r>
      <w:r>
        <w:rPr>
          <w:rFonts w:hint="default" w:ascii="Times New Roman" w:hAnsi="Times New Roman" w:cs="Times New Roman"/>
          <w:b w:val="0"/>
          <w:bCs w:val="0"/>
          <w:color w:val="auto"/>
          <w:lang w:val="en-US" w:eastAsia="zh-CN"/>
        </w:rPr>
        <w:t>中国</w:t>
      </w:r>
      <w:r>
        <w:rPr>
          <w:rFonts w:hint="default" w:ascii="Times New Roman" w:hAnsi="Times New Roman" w:cs="Times New Roman"/>
          <w:color w:val="auto"/>
        </w:rPr>
        <w:t>宏观经济</w:t>
      </w:r>
      <w:r>
        <w:rPr>
          <w:rFonts w:hint="default" w:ascii="Times New Roman" w:hAnsi="Times New Roman" w:cs="Times New Roman"/>
          <w:color w:val="auto"/>
          <w:lang w:val="en-US" w:eastAsia="zh-CN"/>
        </w:rPr>
        <w:t>发展面临外部</w:t>
      </w:r>
      <w:r>
        <w:rPr>
          <w:rFonts w:hint="default" w:ascii="Times New Roman" w:hAnsi="Times New Roman" w:cs="Times New Roman"/>
          <w:color w:val="auto"/>
        </w:rPr>
        <w:t>环境</w:t>
      </w:r>
      <w:r>
        <w:rPr>
          <w:rFonts w:hint="default" w:ascii="Times New Roman" w:hAnsi="Times New Roman" w:cs="Times New Roman"/>
          <w:color w:val="auto"/>
          <w:lang w:val="en-US" w:eastAsia="zh-CN"/>
        </w:rPr>
        <w:t>的</w:t>
      </w:r>
      <w:r>
        <w:rPr>
          <w:rFonts w:hint="default" w:ascii="Times New Roman" w:hAnsi="Times New Roman" w:cs="Times New Roman"/>
          <w:color w:val="auto"/>
        </w:rPr>
        <w:t>复杂性和不确定性，</w:t>
      </w:r>
      <w:r>
        <w:rPr>
          <w:rFonts w:hint="default" w:ascii="Times New Roman" w:hAnsi="Times New Roman" w:cs="Times New Roman"/>
          <w:color w:val="auto"/>
          <w:lang w:val="en-US" w:eastAsia="zh-CN"/>
        </w:rPr>
        <w:t>内部受总需求不足和结构性矛盾等影响，经济增长放缓，这将约束农业农村经济发展，导致</w:t>
      </w:r>
      <w:r>
        <w:rPr>
          <w:rFonts w:hint="default" w:ascii="Times New Roman" w:hAnsi="Times New Roman" w:cs="Times New Roman"/>
          <w:color w:val="auto"/>
        </w:rPr>
        <w:t>村集体经营性收入</w:t>
      </w:r>
      <w:r>
        <w:rPr>
          <w:rFonts w:hint="default" w:ascii="Times New Roman" w:hAnsi="Times New Roman" w:cs="Times New Roman"/>
          <w:color w:val="auto"/>
          <w:lang w:val="en-US" w:eastAsia="zh-CN"/>
        </w:rPr>
        <w:t>下降</w:t>
      </w:r>
      <w:r>
        <w:rPr>
          <w:rFonts w:hint="default" w:ascii="Times New Roman" w:hAnsi="Times New Roman" w:cs="Times New Roman"/>
          <w:color w:val="auto"/>
        </w:rPr>
        <w:t>，农民工资性收入</w:t>
      </w:r>
      <w:r>
        <w:rPr>
          <w:rFonts w:hint="default" w:ascii="Times New Roman" w:hAnsi="Times New Roman" w:cs="Times New Roman"/>
          <w:color w:val="auto"/>
          <w:lang w:val="en-US" w:eastAsia="zh-CN"/>
        </w:rPr>
        <w:t>和财产性收入</w:t>
      </w:r>
      <w:r>
        <w:rPr>
          <w:rFonts w:hint="default" w:ascii="Times New Roman" w:hAnsi="Times New Roman" w:cs="Times New Roman"/>
          <w:color w:val="auto"/>
        </w:rPr>
        <w:t>增长</w:t>
      </w:r>
      <w:r>
        <w:rPr>
          <w:rFonts w:hint="default" w:ascii="Times New Roman" w:hAnsi="Times New Roman" w:cs="Times New Roman"/>
          <w:color w:val="auto"/>
          <w:lang w:val="en-US" w:eastAsia="zh-CN"/>
        </w:rPr>
        <w:t>也</w:t>
      </w:r>
      <w:r>
        <w:rPr>
          <w:rFonts w:hint="default" w:ascii="Times New Roman" w:hAnsi="Times New Roman" w:cs="Times New Roman"/>
          <w:color w:val="auto"/>
        </w:rPr>
        <w:t>面临较大压</w:t>
      </w:r>
      <w:r>
        <w:rPr>
          <w:rFonts w:hint="eastAsia" w:ascii="Times New Roman" w:hAnsi="Times New Roman" w:cs="Times New Roman"/>
          <w:color w:val="auto"/>
          <w:lang w:eastAsia="zh-CN"/>
        </w:rPr>
        <w:t>力</w:t>
      </w:r>
      <w:r>
        <w:rPr>
          <w:rFonts w:hint="default" w:ascii="Times New Roman" w:hAnsi="Times New Roman" w:cs="Times New Roman"/>
          <w:color w:val="auto"/>
        </w:rPr>
        <w:t>。在经济</w:t>
      </w:r>
      <w:r>
        <w:rPr>
          <w:rFonts w:hint="default" w:ascii="Times New Roman" w:hAnsi="Times New Roman" w:cs="Times New Roman"/>
          <w:color w:val="auto"/>
          <w:lang w:val="en-US" w:eastAsia="zh-CN"/>
        </w:rPr>
        <w:t>增长趋缓的背景下</w:t>
      </w:r>
      <w:r>
        <w:rPr>
          <w:rFonts w:hint="default" w:ascii="Times New Roman" w:hAnsi="Times New Roman" w:cs="Times New Roman"/>
          <w:color w:val="auto"/>
        </w:rPr>
        <w:t>，城乡居民收入倍差趋势出现反复，对城乡融合与社会稳定构成潜在挑战。</w:t>
      </w:r>
    </w:p>
    <w:p w14:paraId="50C78CA5">
      <w:pPr>
        <w:pageBreakBefore w:val="0"/>
        <w:numPr>
          <w:ilvl w:val="0"/>
          <w:numId w:val="0"/>
        </w:numPr>
        <w:wordWrap/>
        <w:overflowPunct/>
        <w:topLinePunct w:val="0"/>
        <w:bidi w:val="0"/>
        <w:ind w:left="0" w:leftChars="0" w:firstLine="643" w:firstLineChars="200"/>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内生动力不足，要素保障存在短板。</w:t>
      </w:r>
      <w:r>
        <w:rPr>
          <w:rFonts w:hint="default" w:ascii="Times New Roman" w:hAnsi="Times New Roman" w:cs="Times New Roman"/>
          <w:color w:val="auto"/>
        </w:rPr>
        <w:t>乡村人口老龄化、空心化趋势严峻，“谁来种地”“谁来振兴乡村”的问题依然突出</w:t>
      </w:r>
      <w:r>
        <w:rPr>
          <w:rFonts w:hint="default" w:ascii="Times New Roman" w:hAnsi="Times New Roman" w:cs="Times New Roman"/>
          <w:color w:val="auto"/>
          <w:lang w:eastAsia="zh-CN"/>
        </w:rPr>
        <w:t>，</w:t>
      </w:r>
      <w:r>
        <w:rPr>
          <w:rFonts w:hint="default" w:ascii="Times New Roman" w:hAnsi="Times New Roman" w:cs="Times New Roman"/>
          <w:color w:val="auto"/>
        </w:rPr>
        <w:t>吸引和留住高素质青年人才、专业技术人员扎根乡村的机制</w:t>
      </w:r>
      <w:r>
        <w:rPr>
          <w:rFonts w:hint="default" w:ascii="Times New Roman" w:hAnsi="Times New Roman" w:cs="Times New Roman"/>
          <w:color w:val="auto"/>
          <w:lang w:val="en-US" w:eastAsia="zh-CN"/>
        </w:rPr>
        <w:t>政策</w:t>
      </w:r>
      <w:r>
        <w:rPr>
          <w:rFonts w:hint="default" w:ascii="Times New Roman" w:hAnsi="Times New Roman" w:cs="Times New Roman"/>
          <w:color w:val="auto"/>
        </w:rPr>
        <w:t>仍需完善</w:t>
      </w:r>
      <w:r>
        <w:rPr>
          <w:rFonts w:hint="default" w:ascii="Times New Roman" w:hAnsi="Times New Roman" w:cs="Times New Roman"/>
          <w:color w:val="auto"/>
          <w:lang w:eastAsia="zh-CN"/>
        </w:rPr>
        <w:t>，</w:t>
      </w:r>
      <w:r>
        <w:rPr>
          <w:rFonts w:hint="default" w:ascii="Times New Roman" w:hAnsi="Times New Roman" w:cs="Times New Roman"/>
          <w:color w:val="auto"/>
        </w:rPr>
        <w:t>户籍制度等相关改革仍需深化。土地资源紧张，环境承载压力日益增大，对发展大规模、粗放式农业形成硬约束</w:t>
      </w:r>
      <w:r>
        <w:rPr>
          <w:rFonts w:hint="default" w:ascii="Times New Roman" w:hAnsi="Times New Roman" w:cs="Times New Roman"/>
          <w:color w:val="auto"/>
          <w:lang w:eastAsia="zh-CN"/>
        </w:rPr>
        <w:t>；</w:t>
      </w:r>
      <w:r>
        <w:rPr>
          <w:rFonts w:hint="default" w:ascii="Times New Roman" w:hAnsi="Times New Roman" w:cs="Times New Roman"/>
          <w:color w:val="auto"/>
        </w:rPr>
        <w:t>农村金融供给仍显不足</w:t>
      </w:r>
      <w:r>
        <w:rPr>
          <w:rFonts w:hint="default" w:ascii="Times New Roman" w:hAnsi="Times New Roman" w:cs="Times New Roman"/>
          <w:color w:val="auto"/>
          <w:lang w:eastAsia="zh-CN"/>
        </w:rPr>
        <w:t>；</w:t>
      </w:r>
      <w:r>
        <w:rPr>
          <w:rFonts w:hint="default" w:ascii="Times New Roman" w:hAnsi="Times New Roman" w:cs="Times New Roman"/>
          <w:color w:val="auto"/>
        </w:rPr>
        <w:t>社会资本进入农业农村的“回报</w:t>
      </w:r>
      <w:r>
        <w:rPr>
          <w:rFonts w:hint="default" w:ascii="Times New Roman" w:hAnsi="Times New Roman" w:cs="Times New Roman"/>
          <w:color w:val="auto"/>
          <w:lang w:val="en-US" w:eastAsia="zh-CN"/>
        </w:rPr>
        <w:t>周期长</w:t>
      </w:r>
      <w:r>
        <w:rPr>
          <w:rFonts w:hint="default" w:ascii="Times New Roman" w:hAnsi="Times New Roman" w:cs="Times New Roman"/>
          <w:color w:val="auto"/>
        </w:rPr>
        <w:t>、</w:t>
      </w:r>
      <w:r>
        <w:rPr>
          <w:rFonts w:hint="default" w:ascii="Times New Roman" w:hAnsi="Times New Roman" w:cs="Times New Roman"/>
          <w:color w:val="auto"/>
          <w:lang w:eastAsia="zh-CN"/>
        </w:rPr>
        <w:t>风险大</w:t>
      </w:r>
      <w:r>
        <w:rPr>
          <w:rFonts w:hint="default" w:ascii="Times New Roman" w:hAnsi="Times New Roman" w:cs="Times New Roman"/>
          <w:color w:val="auto"/>
        </w:rPr>
        <w:t>”等问题</w:t>
      </w:r>
      <w:r>
        <w:rPr>
          <w:rFonts w:hint="default" w:ascii="Times New Roman" w:hAnsi="Times New Roman" w:cs="Times New Roman"/>
          <w:color w:val="auto"/>
          <w:lang w:eastAsia="zh-CN"/>
        </w:rPr>
        <w:t>导致社会资本进入日趋谨慎</w:t>
      </w:r>
      <w:r>
        <w:rPr>
          <w:rFonts w:hint="default" w:ascii="Times New Roman" w:hAnsi="Times New Roman" w:cs="Times New Roman"/>
          <w:color w:val="auto"/>
        </w:rPr>
        <w:t>，多元化投入机制</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风险掌控化解能力有待进一步提升</w:t>
      </w:r>
      <w:r>
        <w:rPr>
          <w:rFonts w:hint="default" w:ascii="Times New Roman" w:hAnsi="Times New Roman" w:cs="Times New Roman"/>
          <w:color w:val="auto"/>
        </w:rPr>
        <w:t>。</w:t>
      </w:r>
    </w:p>
    <w:p w14:paraId="3B43D25D">
      <w:pPr>
        <w:pageBreakBefore w:val="0"/>
        <w:wordWrap/>
        <w:overflowPunct/>
        <w:topLinePunct w:val="0"/>
        <w:bidi w:val="0"/>
        <w:ind w:left="0" w:left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变局蕴含机遇，挑战激发斗志。</w:t>
      </w:r>
      <w:bookmarkStart w:id="15" w:name="_Toc1074006060"/>
      <w:r>
        <w:rPr>
          <w:rFonts w:hint="default" w:ascii="Times New Roman" w:hAnsi="Times New Roman" w:cs="Times New Roman"/>
          <w:strike w:val="0"/>
          <w:dstrike w:val="0"/>
          <w:color w:val="auto"/>
          <w:lang w:val="en-US" w:eastAsia="zh-CN"/>
        </w:rPr>
        <w:t>“十五五”时期海门农业农村发展必须保持战略定力，</w:t>
      </w:r>
      <w:r>
        <w:rPr>
          <w:rFonts w:hint="default" w:ascii="Times New Roman" w:hAnsi="Times New Roman" w:cs="Times New Roman"/>
          <w:color w:val="auto"/>
          <w:lang w:val="en-US" w:eastAsia="zh-CN"/>
        </w:rPr>
        <w:t>树立底线思维，增强机遇意识和风险意识，准确识变、科学应变、主动求变，在有效应对风险挑战中牢牢把握发展主动权，全力破解瓶颈制约，将战略机遇与绝对、相对比较优势切实转化为高质量发展胜势。</w:t>
      </w:r>
    </w:p>
    <w:p w14:paraId="4DA8B0ED">
      <w:pPr>
        <w:pStyle w:val="3"/>
        <w:pageBreakBefore w:val="0"/>
        <w:wordWrap/>
        <w:overflowPunct/>
        <w:topLinePunct w:val="0"/>
        <w:bidi w:val="0"/>
        <w:ind w:left="0" w:leftChars="0"/>
        <w:rPr>
          <w:rFonts w:hint="default" w:ascii="Times New Roman" w:hAnsi="Times New Roman" w:cs="Times New Roman"/>
          <w:color w:val="auto"/>
        </w:rPr>
      </w:pPr>
      <w:bookmarkStart w:id="16" w:name="_Toc14790"/>
      <w:r>
        <w:rPr>
          <w:rFonts w:hint="default" w:ascii="Times New Roman" w:hAnsi="Times New Roman" w:cs="Times New Roman"/>
          <w:color w:val="auto"/>
        </w:rPr>
        <w:t>二、总体</w:t>
      </w:r>
      <w:r>
        <w:rPr>
          <w:rFonts w:hint="default" w:ascii="Times New Roman" w:hAnsi="Times New Roman" w:cs="Times New Roman"/>
          <w:color w:val="auto"/>
          <w:lang w:eastAsia="zh-CN"/>
        </w:rPr>
        <w:t>战略</w:t>
      </w:r>
      <w:bookmarkEnd w:id="15"/>
      <w:bookmarkEnd w:id="16"/>
    </w:p>
    <w:p w14:paraId="2686328F">
      <w:pPr>
        <w:pStyle w:val="4"/>
        <w:pageBreakBefore w:val="0"/>
        <w:wordWrap/>
        <w:overflowPunct/>
        <w:topLinePunct w:val="0"/>
        <w:bidi w:val="0"/>
        <w:ind w:left="0" w:leftChars="0"/>
        <w:rPr>
          <w:rFonts w:hint="default" w:ascii="Times New Roman" w:hAnsi="Times New Roman" w:cs="Times New Roman"/>
          <w:color w:val="auto"/>
        </w:rPr>
      </w:pPr>
      <w:bookmarkStart w:id="17" w:name="_Toc180"/>
      <w:bookmarkStart w:id="18" w:name="_Toc1219797385"/>
      <w:r>
        <w:rPr>
          <w:rFonts w:hint="default" w:ascii="Times New Roman" w:hAnsi="Times New Roman" w:cs="Times New Roman"/>
          <w:color w:val="auto"/>
        </w:rPr>
        <w:t>（一）指导思想</w:t>
      </w:r>
      <w:bookmarkEnd w:id="17"/>
      <w:bookmarkEnd w:id="18"/>
    </w:p>
    <w:p w14:paraId="6D63EAD2">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坚持以习近平新时代中国特色社会主义思想为指导，全面贯彻</w:t>
      </w:r>
      <w:r>
        <w:rPr>
          <w:rFonts w:hint="default" w:ascii="Times New Roman" w:hAnsi="Times New Roman" w:cs="Times New Roman"/>
          <w:color w:val="auto"/>
          <w:lang w:eastAsia="zh-CN"/>
        </w:rPr>
        <w:t>党的二十大和二十届历次全会精神</w:t>
      </w:r>
      <w:r>
        <w:rPr>
          <w:rFonts w:hint="default" w:ascii="Times New Roman" w:hAnsi="Times New Roman" w:cs="Times New Roman"/>
          <w:color w:val="auto"/>
        </w:rPr>
        <w:t>，深入落实习近平总书记关于“三农”工作的重要论述和对江苏工作“在推进农业现代化上走在前”的重大要求，学习运用“千万工程”经验，坚持和加强党对“三农”工作的全面领导，持续完善强农惠农富农政策体系</w:t>
      </w:r>
      <w:r>
        <w:rPr>
          <w:rFonts w:hint="default" w:ascii="Times New Roman" w:hAnsi="Times New Roman" w:cs="Times New Roman"/>
          <w:color w:val="auto"/>
          <w:lang w:eastAsia="zh-CN"/>
        </w:rPr>
        <w:t>，</w:t>
      </w:r>
      <w:r>
        <w:rPr>
          <w:rFonts w:hint="default" w:ascii="Times New Roman" w:hAnsi="Times New Roman" w:cs="Times New Roman"/>
          <w:color w:val="auto"/>
        </w:rPr>
        <w:t>锚定</w:t>
      </w:r>
      <w:r>
        <w:rPr>
          <w:rFonts w:hint="default" w:ascii="Times New Roman" w:hAnsi="Times New Roman" w:cs="Times New Roman"/>
          <w:color w:val="auto"/>
          <w:lang w:val="en-US" w:eastAsia="zh-CN"/>
        </w:rPr>
        <w:t>基本实现</w:t>
      </w:r>
      <w:r>
        <w:rPr>
          <w:rFonts w:hint="default" w:ascii="Times New Roman" w:hAnsi="Times New Roman" w:cs="Times New Roman"/>
          <w:color w:val="auto"/>
        </w:rPr>
        <w:t>农业农村现代化、乡村全面振兴的总目标，</w:t>
      </w:r>
      <w:r>
        <w:rPr>
          <w:rFonts w:hint="default" w:ascii="Times New Roman" w:hAnsi="Times New Roman" w:cs="Times New Roman"/>
          <w:b w:val="0"/>
          <w:bCs w:val="0"/>
          <w:color w:val="auto"/>
          <w:lang w:val="en-US" w:eastAsia="zh-CN"/>
        </w:rPr>
        <w:t>大力实施“跨江向海”战略，</w:t>
      </w:r>
      <w:r>
        <w:rPr>
          <w:rFonts w:hint="default" w:ascii="Times New Roman" w:hAnsi="Times New Roman" w:cs="Times New Roman"/>
          <w:color w:val="auto"/>
        </w:rPr>
        <w:t>加快建设农业强区。</w:t>
      </w:r>
    </w:p>
    <w:p w14:paraId="2609D5FB">
      <w:pPr>
        <w:pStyle w:val="4"/>
        <w:pageBreakBefore w:val="0"/>
        <w:wordWrap/>
        <w:overflowPunct/>
        <w:topLinePunct w:val="0"/>
        <w:bidi w:val="0"/>
        <w:ind w:left="0" w:leftChars="0"/>
        <w:rPr>
          <w:rFonts w:hint="default" w:ascii="Times New Roman" w:hAnsi="Times New Roman" w:cs="Times New Roman"/>
          <w:color w:val="auto"/>
        </w:rPr>
      </w:pPr>
      <w:bookmarkStart w:id="19" w:name="_Toc1255755433"/>
      <w:bookmarkStart w:id="20" w:name="_Toc31607"/>
      <w:r>
        <w:rPr>
          <w:rFonts w:hint="default" w:ascii="Times New Roman" w:hAnsi="Times New Roman" w:cs="Times New Roman"/>
          <w:color w:val="auto"/>
        </w:rPr>
        <w:t>（二）基本原则</w:t>
      </w:r>
      <w:bookmarkEnd w:id="19"/>
      <w:bookmarkEnd w:id="20"/>
    </w:p>
    <w:p w14:paraId="1C822F6A">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坚持和加强党对“三农”工作的全面领导，坚持农业农村优先发展，坚持城乡融合发展，坚持农民主体地位，坚持因地制宜、分类施策，坚持人与自然和谐共生，坚持深化改革创新，坚持循序渐进、久久为功</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坚持民生为大，努力为人民群众多办实事</w:t>
      </w:r>
      <w:r>
        <w:rPr>
          <w:rFonts w:hint="default" w:ascii="Times New Roman" w:hAnsi="Times New Roman" w:cs="Times New Roman"/>
          <w:color w:val="auto"/>
        </w:rPr>
        <w:t>。充分调动农民的积极性、主动性、创造性。统筹乡村振兴发展水平，合理确定阶段性重点任务和推进时序，尊重客观规律，不超越发展阶段；统筹新型城镇化和乡村全面振兴，缩小城乡</w:t>
      </w:r>
      <w:r>
        <w:rPr>
          <w:rFonts w:hint="default" w:ascii="Times New Roman" w:hAnsi="Times New Roman" w:cs="Times New Roman"/>
          <w:color w:val="auto"/>
          <w:lang w:eastAsia="zh-CN"/>
        </w:rPr>
        <w:t>差距</w:t>
      </w:r>
      <w:r>
        <w:rPr>
          <w:rFonts w:hint="default" w:ascii="Times New Roman" w:hAnsi="Times New Roman" w:cs="Times New Roman"/>
          <w:color w:val="auto"/>
        </w:rPr>
        <w:t>，促进城乡共同繁荣发展；统筹推进农村经济建设、政治建设、文化建设、社会建设、生态文明建设和党的建设，实现乡村全面</w:t>
      </w:r>
      <w:r>
        <w:rPr>
          <w:rFonts w:hint="default" w:ascii="Times New Roman" w:hAnsi="Times New Roman" w:cs="Times New Roman"/>
          <w:color w:val="auto"/>
          <w:lang w:eastAsia="zh-CN"/>
        </w:rPr>
        <w:t>振兴</w:t>
      </w:r>
      <w:r>
        <w:rPr>
          <w:rFonts w:hint="default" w:ascii="Times New Roman" w:hAnsi="Times New Roman" w:cs="Times New Roman"/>
          <w:color w:val="auto"/>
        </w:rPr>
        <w:t>。</w:t>
      </w:r>
    </w:p>
    <w:p w14:paraId="437BC4A7">
      <w:pPr>
        <w:pStyle w:val="4"/>
        <w:pageBreakBefore w:val="0"/>
        <w:wordWrap/>
        <w:overflowPunct/>
        <w:topLinePunct w:val="0"/>
        <w:bidi w:val="0"/>
        <w:ind w:left="0" w:leftChars="0"/>
        <w:rPr>
          <w:rFonts w:hint="default" w:ascii="Times New Roman" w:hAnsi="Times New Roman" w:cs="Times New Roman"/>
          <w:color w:val="auto"/>
        </w:rPr>
      </w:pPr>
      <w:bookmarkStart w:id="21" w:name="_Toc25651"/>
      <w:bookmarkStart w:id="22" w:name="_Toc12279715"/>
      <w:r>
        <w:rPr>
          <w:rFonts w:hint="default" w:ascii="Times New Roman" w:hAnsi="Times New Roman" w:cs="Times New Roman"/>
          <w:color w:val="auto"/>
        </w:rPr>
        <w:t>（三）总体目标</w:t>
      </w:r>
      <w:bookmarkEnd w:id="21"/>
      <w:bookmarkEnd w:id="22"/>
    </w:p>
    <w:p w14:paraId="17A40F06">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坚持把“三农”工作作为重中之重，不断夯实基础、提高发展质效。遵循规律、因地制宜，提升农业综合生产能力，持续巩固拓展脱贫攻坚成果，拓宽农民增收致富渠道，推进宜居宜业和美乡村建设，始终守牢保障粮食安全等底线。到2030年，农业农村现代化水平稳居全省</w:t>
      </w:r>
      <w:r>
        <w:rPr>
          <w:rFonts w:hint="default" w:ascii="Times New Roman" w:hAnsi="Times New Roman" w:cs="Times New Roman"/>
          <w:color w:val="auto"/>
          <w:lang w:eastAsia="zh-CN"/>
        </w:rPr>
        <w:t>前列</w:t>
      </w:r>
      <w:r>
        <w:rPr>
          <w:rFonts w:hint="default" w:ascii="Times New Roman" w:hAnsi="Times New Roman" w:cs="Times New Roman"/>
          <w:color w:val="auto"/>
        </w:rPr>
        <w:t>，在长三角地区率先基本实现农业</w:t>
      </w:r>
      <w:r>
        <w:rPr>
          <w:rFonts w:hint="default" w:ascii="Times New Roman" w:hAnsi="Times New Roman" w:cs="Times New Roman"/>
          <w:color w:val="auto"/>
          <w:lang w:eastAsia="zh-CN"/>
        </w:rPr>
        <w:t>农村</w:t>
      </w:r>
      <w:r>
        <w:rPr>
          <w:rFonts w:hint="default" w:ascii="Times New Roman" w:hAnsi="Times New Roman" w:cs="Times New Roman"/>
          <w:color w:val="auto"/>
        </w:rPr>
        <w:t>现代化</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夯实农村基本具备现代生活条件的基础</w:t>
      </w:r>
      <w:r>
        <w:rPr>
          <w:rFonts w:hint="default" w:ascii="Times New Roman" w:hAnsi="Times New Roman" w:cs="Times New Roman"/>
          <w:color w:val="auto"/>
        </w:rPr>
        <w:t>，乡村全面振兴取得实质性进展，农业强区建设成效显著。</w:t>
      </w:r>
    </w:p>
    <w:p w14:paraId="6FF3A391">
      <w:pPr>
        <w:pageBreakBefore w:val="0"/>
        <w:wordWrap/>
        <w:overflowPunct/>
        <w:topLinePunct w:val="0"/>
        <w:bidi w:val="0"/>
        <w:ind w:left="0" w:leftChars="0"/>
        <w:rPr>
          <w:rFonts w:hint="default" w:ascii="Times New Roman" w:hAnsi="Times New Roman" w:cs="Times New Roman"/>
          <w:color w:val="auto"/>
          <w:lang w:val="en-US" w:eastAsia="zh-CN"/>
        </w:rPr>
      </w:pPr>
      <w:r>
        <w:rPr>
          <w:rFonts w:hint="default" w:ascii="Times New Roman" w:hAnsi="Times New Roman" w:cs="Times New Roman"/>
          <w:b/>
          <w:bCs/>
          <w:color w:val="auto"/>
        </w:rPr>
        <w:t>农业更强</w:t>
      </w:r>
      <w:r>
        <w:rPr>
          <w:rFonts w:hint="default" w:ascii="Times New Roman" w:hAnsi="Times New Roman" w:cs="Times New Roman"/>
          <w:b/>
          <w:bCs/>
          <w:color w:val="auto"/>
          <w:lang w:eastAsia="zh-CN"/>
        </w:rPr>
        <w:t>。</w:t>
      </w:r>
      <w:r>
        <w:rPr>
          <w:rFonts w:hint="default" w:ascii="Times New Roman" w:hAnsi="Times New Roman" w:cs="Times New Roman"/>
          <w:color w:val="auto"/>
        </w:rPr>
        <w:t>全面落实“藏粮于地、藏粮于技”战略，粮食等重要农产品“五谷丰登”，产能稳固供给且更加安全</w:t>
      </w:r>
      <w:r>
        <w:rPr>
          <w:rFonts w:hint="default" w:ascii="Times New Roman" w:hAnsi="Times New Roman" w:cs="Times New Roman"/>
          <w:color w:val="auto"/>
          <w:lang w:eastAsia="zh-CN"/>
        </w:rPr>
        <w:t>。</w:t>
      </w:r>
      <w:r>
        <w:rPr>
          <w:rFonts w:hint="default" w:ascii="Times New Roman" w:hAnsi="Times New Roman" w:cs="Times New Roman"/>
          <w:color w:val="auto"/>
        </w:rPr>
        <w:t>乡村全产业链优化升级，一二三产业深度融合，农业产业迈向高质高效。新型农业经营主体规范发展、活力增强。科技驱动与绿色引领作用凸显，物质装备支撑坚实有力，</w:t>
      </w:r>
      <w:r>
        <w:rPr>
          <w:rFonts w:hint="default" w:ascii="Times New Roman" w:hAnsi="Times New Roman" w:cs="Times New Roman"/>
          <w:color w:val="auto"/>
          <w:lang w:eastAsia="zh-CN"/>
        </w:rPr>
        <w:t>努力把农业建成现代大产业；</w:t>
      </w:r>
      <w:r>
        <w:rPr>
          <w:rFonts w:hint="default" w:ascii="Times New Roman" w:hAnsi="Times New Roman" w:cs="Times New Roman"/>
          <w:color w:val="auto"/>
        </w:rPr>
        <w:t>着力将海门打造成为服务长三角、辐射更广区域的绿色健康安全农产品</w:t>
      </w:r>
      <w:r>
        <w:rPr>
          <w:rFonts w:hint="default" w:ascii="Times New Roman" w:hAnsi="Times New Roman" w:cs="Times New Roman"/>
          <w:color w:val="auto"/>
          <w:lang w:eastAsia="zh-CN"/>
        </w:rPr>
        <w:t>供应</w:t>
      </w:r>
      <w:r>
        <w:rPr>
          <w:rFonts w:hint="default" w:ascii="Times New Roman" w:hAnsi="Times New Roman" w:cs="Times New Roman"/>
          <w:color w:val="auto"/>
        </w:rPr>
        <w:t>基地</w:t>
      </w:r>
      <w:r>
        <w:rPr>
          <w:rFonts w:hint="default" w:ascii="Times New Roman" w:hAnsi="Times New Roman" w:cs="Times New Roman"/>
          <w:color w:val="auto"/>
          <w:lang w:eastAsia="zh-CN"/>
        </w:rPr>
        <w:t>、</w:t>
      </w:r>
      <w:r>
        <w:rPr>
          <w:rFonts w:hint="default" w:ascii="Times New Roman" w:hAnsi="Times New Roman" w:cs="Times New Roman"/>
          <w:color w:val="auto"/>
        </w:rPr>
        <w:t>农业科技创新阵地、</w:t>
      </w:r>
      <w:r>
        <w:rPr>
          <w:rFonts w:hint="default" w:ascii="Times New Roman" w:hAnsi="Times New Roman" w:cs="Times New Roman"/>
          <w:color w:val="auto"/>
          <w:lang w:eastAsia="zh-CN"/>
        </w:rPr>
        <w:t>农文旅</w:t>
      </w:r>
      <w:r>
        <w:rPr>
          <w:rFonts w:hint="default" w:ascii="Times New Roman" w:hAnsi="Times New Roman" w:cs="Times New Roman"/>
          <w:color w:val="auto"/>
        </w:rPr>
        <w:t>融合新地</w:t>
      </w:r>
      <w:r>
        <w:rPr>
          <w:rFonts w:hint="default" w:ascii="Times New Roman" w:hAnsi="Times New Roman" w:cs="Times New Roman"/>
          <w:color w:val="auto"/>
          <w:lang w:eastAsia="zh-CN"/>
        </w:rPr>
        <w:t>。</w:t>
      </w:r>
    </w:p>
    <w:p w14:paraId="5F6A564D">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rPr>
        <w:t>农村更美</w:t>
      </w:r>
      <w:r>
        <w:rPr>
          <w:rFonts w:hint="default" w:ascii="Times New Roman" w:hAnsi="Times New Roman" w:cs="Times New Roman"/>
          <w:b/>
          <w:bCs/>
          <w:color w:val="auto"/>
          <w:lang w:eastAsia="zh-CN"/>
        </w:rPr>
        <w:t>。</w:t>
      </w:r>
      <w:r>
        <w:rPr>
          <w:rFonts w:hint="default" w:ascii="Times New Roman" w:hAnsi="Times New Roman" w:cs="Times New Roman"/>
          <w:color w:val="auto"/>
        </w:rPr>
        <w:t>宜居宜业和美乡村建设取得显著成效，</w:t>
      </w:r>
      <w:r>
        <w:rPr>
          <w:rFonts w:hint="default" w:ascii="Times New Roman" w:hAnsi="Times New Roman" w:cs="Times New Roman"/>
          <w:color w:val="auto"/>
          <w:lang w:eastAsia="zh-CN"/>
        </w:rPr>
        <w:t>农村基本具备现代生活条件，生态环境优良，乡村治理体系健全完善，法治建设深入推进，农村重点领域改革释放活力，处处</w:t>
      </w:r>
      <w:r>
        <w:rPr>
          <w:rFonts w:hint="default" w:ascii="Times New Roman" w:hAnsi="Times New Roman" w:cs="Times New Roman"/>
          <w:color w:val="auto"/>
        </w:rPr>
        <w:t>“</w:t>
      </w:r>
      <w:r>
        <w:rPr>
          <w:rFonts w:hint="default" w:ascii="Times New Roman" w:hAnsi="Times New Roman" w:cs="Times New Roman"/>
          <w:color w:val="auto"/>
          <w:lang w:eastAsia="zh-CN"/>
        </w:rPr>
        <w:t>景美人和、</w:t>
      </w:r>
      <w:r>
        <w:rPr>
          <w:rFonts w:hint="default" w:ascii="Times New Roman" w:hAnsi="Times New Roman" w:cs="Times New Roman"/>
          <w:color w:val="auto"/>
        </w:rPr>
        <w:t>张灯结彩”，乡村成为人与自然和谐共生的美丽家园。</w:t>
      </w:r>
    </w:p>
    <w:p w14:paraId="22AF959A">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rPr>
        <w:t>农民更富</w:t>
      </w:r>
      <w:r>
        <w:rPr>
          <w:rFonts w:hint="default" w:ascii="Times New Roman" w:hAnsi="Times New Roman" w:cs="Times New Roman"/>
          <w:b/>
          <w:bCs/>
          <w:color w:val="auto"/>
          <w:lang w:eastAsia="zh-CN"/>
        </w:rPr>
        <w:t>。</w:t>
      </w:r>
      <w:r>
        <w:rPr>
          <w:rFonts w:hint="default" w:ascii="Times New Roman" w:hAnsi="Times New Roman" w:cs="Times New Roman"/>
          <w:color w:val="auto"/>
        </w:rPr>
        <w:t>充分保障农民权益，激发内生动力</w:t>
      </w:r>
      <w:r>
        <w:rPr>
          <w:rFonts w:hint="default" w:ascii="Times New Roman" w:hAnsi="Times New Roman" w:cs="Times New Roman"/>
          <w:color w:val="auto"/>
          <w:lang w:eastAsia="zh-CN"/>
        </w:rPr>
        <w:t>，</w:t>
      </w:r>
      <w:r>
        <w:rPr>
          <w:rFonts w:hint="default" w:ascii="Times New Roman" w:hAnsi="Times New Roman" w:cs="Times New Roman"/>
          <w:color w:val="auto"/>
        </w:rPr>
        <w:t>让广大农民更多分享现代化成果；拓宽强村富民路径</w:t>
      </w:r>
      <w:r>
        <w:rPr>
          <w:rFonts w:hint="default" w:ascii="Times New Roman" w:hAnsi="Times New Roman" w:cs="Times New Roman"/>
          <w:color w:val="auto"/>
          <w:lang w:eastAsia="zh-CN"/>
        </w:rPr>
        <w:t>，让</w:t>
      </w:r>
      <w:r>
        <w:rPr>
          <w:rFonts w:hint="default" w:ascii="Times New Roman" w:hAnsi="Times New Roman" w:cs="Times New Roman"/>
          <w:color w:val="auto"/>
        </w:rPr>
        <w:t>农民收入增长稳定，</w:t>
      </w:r>
      <w:r>
        <w:rPr>
          <w:rFonts w:hint="default" w:ascii="Times New Roman" w:hAnsi="Times New Roman" w:cs="Times New Roman"/>
          <w:color w:val="auto"/>
          <w:lang w:eastAsia="zh-CN"/>
        </w:rPr>
        <w:t>农村</w:t>
      </w:r>
      <w:r>
        <w:rPr>
          <w:rFonts w:hint="default" w:ascii="Times New Roman" w:hAnsi="Times New Roman" w:cs="Times New Roman"/>
          <w:color w:val="auto"/>
        </w:rPr>
        <w:t>家庭“年年有余”</w:t>
      </w:r>
      <w:r>
        <w:rPr>
          <w:rFonts w:hint="default" w:ascii="Times New Roman" w:hAnsi="Times New Roman" w:cs="Times New Roman"/>
          <w:color w:val="auto"/>
          <w:lang w:eastAsia="zh-CN"/>
        </w:rPr>
        <w:t>，让农民生活更加富裕美好</w:t>
      </w:r>
      <w:r>
        <w:rPr>
          <w:rFonts w:hint="default" w:ascii="Times New Roman" w:hAnsi="Times New Roman" w:cs="Times New Roman"/>
          <w:color w:val="auto"/>
        </w:rPr>
        <w:t>。</w:t>
      </w:r>
    </w:p>
    <w:p w14:paraId="6F778FB1">
      <w:pPr>
        <w:pageBreakBefore w:val="0"/>
        <w:wordWrap/>
        <w:overflowPunct/>
        <w:topLinePunct w:val="0"/>
        <w:bidi w:val="0"/>
        <w:ind w:left="0" w:leftChars="0"/>
        <w:rPr>
          <w:rFonts w:hint="default" w:ascii="Times New Roman" w:hAnsi="Times New Roman" w:eastAsia="仿宋_GB2312" w:cs="Times New Roman"/>
          <w:color w:val="auto"/>
          <w:lang w:val="en-US" w:eastAsia="zh-CN"/>
        </w:rPr>
      </w:pPr>
      <w:r>
        <w:rPr>
          <w:rFonts w:hint="default" w:ascii="Times New Roman" w:hAnsi="Times New Roman" w:cs="Times New Roman"/>
          <w:b/>
          <w:bCs/>
          <w:color w:val="auto"/>
        </w:rPr>
        <w:t>城乡融合</w:t>
      </w:r>
      <w:r>
        <w:rPr>
          <w:rFonts w:hint="default" w:ascii="Times New Roman" w:hAnsi="Times New Roman" w:cs="Times New Roman"/>
          <w:b/>
          <w:bCs/>
          <w:color w:val="auto"/>
          <w:lang w:eastAsia="zh-CN"/>
        </w:rPr>
        <w:t>。</w:t>
      </w:r>
      <w:r>
        <w:rPr>
          <w:rFonts w:hint="default" w:ascii="Times New Roman" w:hAnsi="Times New Roman" w:cs="Times New Roman"/>
          <w:color w:val="auto"/>
        </w:rPr>
        <w:t>城乡融合发展体制机制更加完善，要素双向流动顺畅高效，区域协同联动显著增强。农村基本公共服务实现普惠均等、水平提升，城乡发展协调性明显增强，城乡融合格局基本形成。</w:t>
      </w:r>
    </w:p>
    <w:p w14:paraId="7A622F0C">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展望2035年，农业现代化与新型工业化、信息化、城镇化基本同步，城乡融合发展机制基本健全，农民生活品质显著提升，农业农村现代化水平走在全省前列，基本实现农业农村现代化，</w:t>
      </w:r>
      <w:r>
        <w:rPr>
          <w:rFonts w:hint="default" w:ascii="Times New Roman" w:hAnsi="Times New Roman" w:cs="Times New Roman"/>
          <w:color w:val="auto"/>
          <w:lang w:val="en-US"/>
        </w:rPr>
        <w:t xml:space="preserve"> </w:t>
      </w:r>
      <w:r>
        <w:rPr>
          <w:rFonts w:hint="default" w:ascii="Times New Roman" w:hAnsi="Times New Roman" w:cs="Times New Roman"/>
          <w:color w:val="auto"/>
        </w:rPr>
        <w:t>农业强区建设取得决定性进展。</w:t>
      </w:r>
    </w:p>
    <w:p w14:paraId="1ECC7D09">
      <w:pPr>
        <w:pStyle w:val="4"/>
        <w:pageBreakBefore w:val="0"/>
        <w:numPr>
          <w:ilvl w:val="0"/>
          <w:numId w:val="0"/>
        </w:numPr>
        <w:wordWrap/>
        <w:overflowPunct/>
        <w:topLinePunct w:val="0"/>
        <w:bidi w:val="0"/>
        <w:ind w:left="0" w:leftChars="0" w:firstLine="640" w:firstLineChars="200"/>
        <w:rPr>
          <w:rFonts w:hint="default" w:ascii="Times New Roman" w:hAnsi="Times New Roman" w:cs="Times New Roman"/>
          <w:color w:val="auto"/>
          <w:lang w:val="en-US" w:eastAsia="zh-CN"/>
        </w:rPr>
      </w:pPr>
      <w:bookmarkStart w:id="23" w:name="_Toc2015"/>
      <w:r>
        <w:rPr>
          <w:rFonts w:hint="default" w:ascii="Times New Roman" w:hAnsi="Times New Roman" w:eastAsia="楷体_GB2312" w:cs="Times New Roman"/>
          <w:color w:val="auto"/>
          <w:sz w:val="32"/>
          <w:szCs w:val="24"/>
          <w:lang w:val="en-US" w:eastAsia="zh-CN" w:bidi="ar-SA"/>
        </w:rPr>
        <w:t>（四）</w:t>
      </w:r>
      <w:r>
        <w:rPr>
          <w:rFonts w:hint="default" w:ascii="Times New Roman" w:hAnsi="Times New Roman" w:cs="Times New Roman"/>
          <w:color w:val="auto"/>
        </w:rPr>
        <w:t>指标</w:t>
      </w:r>
      <w:r>
        <w:rPr>
          <w:rFonts w:hint="default" w:ascii="Times New Roman" w:hAnsi="Times New Roman" w:cs="Times New Roman"/>
          <w:color w:val="auto"/>
          <w:lang w:val="en-US" w:eastAsia="zh-CN"/>
        </w:rPr>
        <w:t>体系</w:t>
      </w:r>
      <w:bookmarkEnd w:id="23"/>
    </w:p>
    <w:p w14:paraId="3B190F78">
      <w:pPr>
        <w:pStyle w:val="41"/>
        <w:pageBreakBefore w:val="0"/>
        <w:wordWrap/>
        <w:overflowPunct/>
        <w:topLinePunct w:val="0"/>
        <w:bidi w:val="0"/>
        <w:ind w:left="0" w:left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表2 指标体系</w:t>
      </w:r>
    </w:p>
    <w:tbl>
      <w:tblPr>
        <w:tblStyle w:val="24"/>
        <w:tblW w:w="8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9"/>
        <w:gridCol w:w="693"/>
        <w:gridCol w:w="755"/>
        <w:gridCol w:w="2987"/>
        <w:gridCol w:w="700"/>
        <w:gridCol w:w="1047"/>
        <w:gridCol w:w="1047"/>
        <w:gridCol w:w="937"/>
      </w:tblGrid>
      <w:tr w14:paraId="47A7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blHeader/>
          <w:jc w:val="center"/>
        </w:trPr>
        <w:tc>
          <w:tcPr>
            <w:tcW w:w="569" w:type="dxa"/>
            <w:shd w:val="clear" w:color="auto" w:fill="F1F1F1" w:themeFill="background1" w:themeFillShade="F2"/>
            <w:vAlign w:val="center"/>
          </w:tcPr>
          <w:p w14:paraId="27CE25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firstLine="0" w:firstLineChars="0"/>
              <w:jc w:val="center"/>
              <w:textAlignment w:val="auto"/>
              <w:rPr>
                <w:rFonts w:hint="default" w:ascii="Times New Roman" w:hAnsi="Times New Roman" w:eastAsia="黑体" w:cs="Times New Roman"/>
                <w:color w:val="auto"/>
                <w:sz w:val="21"/>
                <w:szCs w:val="21"/>
              </w:rPr>
            </w:pPr>
            <w:bookmarkStart w:id="24" w:name="_Toc226739893"/>
            <w:r>
              <w:rPr>
                <w:rFonts w:hint="default" w:ascii="Times New Roman" w:hAnsi="Times New Roman" w:eastAsia="黑体" w:cs="Times New Roman"/>
                <w:color w:val="auto"/>
                <w:sz w:val="21"/>
                <w:szCs w:val="21"/>
              </w:rPr>
              <w:t>序</w:t>
            </w:r>
          </w:p>
          <w:p w14:paraId="6AE4BD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号</w:t>
            </w:r>
          </w:p>
        </w:tc>
        <w:tc>
          <w:tcPr>
            <w:tcW w:w="693" w:type="dxa"/>
            <w:shd w:val="clear" w:color="auto" w:fill="F1F1F1" w:themeFill="background1" w:themeFillShade="F2"/>
            <w:vAlign w:val="center"/>
          </w:tcPr>
          <w:p w14:paraId="095A22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一级指标</w:t>
            </w:r>
          </w:p>
        </w:tc>
        <w:tc>
          <w:tcPr>
            <w:tcW w:w="755" w:type="dxa"/>
            <w:shd w:val="clear" w:color="auto" w:fill="F1F1F1" w:themeFill="background1" w:themeFillShade="F2"/>
            <w:vAlign w:val="center"/>
          </w:tcPr>
          <w:p w14:paraId="69E3FA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二级</w:t>
            </w:r>
          </w:p>
          <w:p w14:paraId="74433F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指标</w:t>
            </w:r>
          </w:p>
        </w:tc>
        <w:tc>
          <w:tcPr>
            <w:tcW w:w="2987" w:type="dxa"/>
            <w:shd w:val="clear" w:color="auto" w:fill="F1F1F1" w:themeFill="background1" w:themeFillShade="F2"/>
            <w:vAlign w:val="center"/>
          </w:tcPr>
          <w:p w14:paraId="7F64F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三级</w:t>
            </w:r>
          </w:p>
          <w:p w14:paraId="6130E5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指标</w:t>
            </w:r>
          </w:p>
        </w:tc>
        <w:tc>
          <w:tcPr>
            <w:tcW w:w="700" w:type="dxa"/>
            <w:shd w:val="clear" w:color="auto" w:fill="F1F1F1" w:themeFill="background1" w:themeFillShade="F2"/>
            <w:vAlign w:val="center"/>
          </w:tcPr>
          <w:p w14:paraId="62FEB0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单位</w:t>
            </w:r>
          </w:p>
        </w:tc>
        <w:tc>
          <w:tcPr>
            <w:tcW w:w="1047" w:type="dxa"/>
            <w:shd w:val="clear" w:color="auto" w:fill="F1F1F1" w:themeFill="background1" w:themeFillShade="F2"/>
            <w:vAlign w:val="center"/>
          </w:tcPr>
          <w:p w14:paraId="21412E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firstLine="0" w:firstLineChars="0"/>
              <w:jc w:val="center"/>
              <w:textAlignment w:val="auto"/>
              <w:rPr>
                <w:rFonts w:hint="default" w:ascii="Times New Roman" w:hAnsi="Times New Roman" w:eastAsia="黑体"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2025</w:t>
            </w:r>
          </w:p>
        </w:tc>
        <w:tc>
          <w:tcPr>
            <w:tcW w:w="1047" w:type="dxa"/>
            <w:shd w:val="clear" w:color="auto" w:fill="F1F1F1" w:themeFill="background1" w:themeFillShade="F2"/>
            <w:vAlign w:val="center"/>
          </w:tcPr>
          <w:p w14:paraId="3502A8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2030</w:t>
            </w:r>
          </w:p>
        </w:tc>
        <w:tc>
          <w:tcPr>
            <w:tcW w:w="937" w:type="dxa"/>
            <w:shd w:val="clear" w:color="auto" w:fill="F1F1F1" w:themeFill="background1" w:themeFillShade="F2"/>
            <w:vAlign w:val="center"/>
          </w:tcPr>
          <w:p w14:paraId="7F6CDA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指标</w:t>
            </w:r>
          </w:p>
          <w:p w14:paraId="38B192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性质</w:t>
            </w:r>
          </w:p>
        </w:tc>
      </w:tr>
      <w:tr w14:paraId="0E6F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auto"/>
            <w:vAlign w:val="center"/>
          </w:tcPr>
          <w:p w14:paraId="111D99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693" w:type="dxa"/>
            <w:vMerge w:val="restart"/>
            <w:shd w:val="clear" w:color="auto" w:fill="auto"/>
            <w:vAlign w:val="center"/>
          </w:tcPr>
          <w:p w14:paraId="274349D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农</w:t>
            </w:r>
          </w:p>
          <w:p w14:paraId="586D7C6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业</w:t>
            </w:r>
          </w:p>
          <w:p w14:paraId="127A03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强</w:t>
            </w:r>
          </w:p>
        </w:tc>
        <w:tc>
          <w:tcPr>
            <w:tcW w:w="755" w:type="dxa"/>
            <w:vMerge w:val="restart"/>
            <w:shd w:val="clear" w:color="auto" w:fill="auto"/>
            <w:vAlign w:val="center"/>
          </w:tcPr>
          <w:p w14:paraId="4C0CF9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农业</w:t>
            </w:r>
          </w:p>
          <w:p w14:paraId="7AFB96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综合</w:t>
            </w:r>
          </w:p>
          <w:p w14:paraId="759399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产能</w:t>
            </w:r>
          </w:p>
        </w:tc>
        <w:tc>
          <w:tcPr>
            <w:tcW w:w="2987" w:type="dxa"/>
            <w:shd w:val="clear" w:color="auto" w:fill="auto"/>
            <w:vAlign w:val="center"/>
          </w:tcPr>
          <w:p w14:paraId="31CFB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highlight w:val="none"/>
                <w:lang w:eastAsia="zh-CN"/>
              </w:rPr>
            </w:pPr>
            <w:r>
              <w:rPr>
                <w:rFonts w:hint="default" w:ascii="Times New Roman" w:hAnsi="Times New Roman" w:eastAsia="宋体" w:cs="Times New Roman"/>
                <w:color w:val="auto"/>
                <w:w w:val="90"/>
                <w:sz w:val="21"/>
                <w:szCs w:val="21"/>
                <w:highlight w:val="none"/>
                <w:lang w:eastAsia="zh-CN"/>
              </w:rPr>
              <w:t>粮食播种面积</w:t>
            </w:r>
          </w:p>
        </w:tc>
        <w:tc>
          <w:tcPr>
            <w:tcW w:w="700" w:type="dxa"/>
            <w:shd w:val="clear" w:color="auto" w:fill="auto"/>
            <w:vAlign w:val="center"/>
          </w:tcPr>
          <w:p w14:paraId="15E479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万亩</w:t>
            </w:r>
          </w:p>
        </w:tc>
        <w:tc>
          <w:tcPr>
            <w:tcW w:w="1047" w:type="dxa"/>
            <w:shd w:val="clear" w:color="auto" w:fill="auto"/>
            <w:vAlign w:val="center"/>
          </w:tcPr>
          <w:p w14:paraId="5B2C86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80.03</w:t>
            </w:r>
          </w:p>
        </w:tc>
        <w:tc>
          <w:tcPr>
            <w:tcW w:w="1047" w:type="dxa"/>
            <w:shd w:val="clear" w:color="auto" w:fill="auto"/>
            <w:vAlign w:val="center"/>
          </w:tcPr>
          <w:p w14:paraId="5F24CE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80.60</w:t>
            </w:r>
          </w:p>
        </w:tc>
        <w:tc>
          <w:tcPr>
            <w:tcW w:w="937" w:type="dxa"/>
            <w:shd w:val="clear" w:color="auto" w:fill="auto"/>
            <w:vAlign w:val="center"/>
          </w:tcPr>
          <w:p w14:paraId="200CE8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约束性</w:t>
            </w:r>
          </w:p>
        </w:tc>
      </w:tr>
      <w:tr w14:paraId="77D5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F1F1F1" w:themeFill="background1" w:themeFillShade="F2"/>
            <w:vAlign w:val="center"/>
          </w:tcPr>
          <w:p w14:paraId="2DF729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2</w:t>
            </w:r>
          </w:p>
        </w:tc>
        <w:tc>
          <w:tcPr>
            <w:tcW w:w="693" w:type="dxa"/>
            <w:vMerge w:val="continue"/>
            <w:shd w:val="clear" w:color="auto" w:fill="auto"/>
            <w:vAlign w:val="center"/>
          </w:tcPr>
          <w:p w14:paraId="22069F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43F549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F1F1F1" w:themeFill="background1" w:themeFillShade="F2"/>
            <w:vAlign w:val="center"/>
          </w:tcPr>
          <w:p w14:paraId="5F335A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宋体" w:cs="Times New Roman"/>
                <w:color w:val="auto"/>
                <w:w w:val="90"/>
                <w:sz w:val="21"/>
                <w:szCs w:val="21"/>
                <w:highlight w:val="none"/>
                <w:lang w:val="en-US" w:eastAsia="zh-CN" w:bidi="ar-SA"/>
              </w:rPr>
            </w:pPr>
            <w:r>
              <w:rPr>
                <w:rFonts w:hint="default" w:ascii="Times New Roman" w:hAnsi="Times New Roman" w:eastAsia="宋体" w:cs="Times New Roman"/>
                <w:color w:val="auto"/>
                <w:w w:val="90"/>
                <w:sz w:val="21"/>
                <w:szCs w:val="21"/>
                <w:highlight w:val="none"/>
              </w:rPr>
              <w:t>粮食综合产能</w:t>
            </w:r>
          </w:p>
        </w:tc>
        <w:tc>
          <w:tcPr>
            <w:tcW w:w="700" w:type="dxa"/>
            <w:shd w:val="clear" w:color="auto" w:fill="F1F1F1" w:themeFill="background1" w:themeFillShade="F2"/>
            <w:vAlign w:val="center"/>
          </w:tcPr>
          <w:p w14:paraId="519CD3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万吨</w:t>
            </w:r>
          </w:p>
        </w:tc>
        <w:tc>
          <w:tcPr>
            <w:tcW w:w="1047" w:type="dxa"/>
            <w:shd w:val="clear" w:color="auto" w:fill="F1F1F1" w:themeFill="background1" w:themeFillShade="F2"/>
            <w:vAlign w:val="center"/>
          </w:tcPr>
          <w:p w14:paraId="32F7DE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26.05</w:t>
            </w:r>
          </w:p>
        </w:tc>
        <w:tc>
          <w:tcPr>
            <w:tcW w:w="1047" w:type="dxa"/>
            <w:shd w:val="clear" w:color="auto" w:fill="F1F1F1" w:themeFill="background1" w:themeFillShade="F2"/>
            <w:vAlign w:val="center"/>
          </w:tcPr>
          <w:p w14:paraId="71F01E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2</w:t>
            </w: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rPr>
              <w:t>.70</w:t>
            </w:r>
          </w:p>
        </w:tc>
        <w:tc>
          <w:tcPr>
            <w:tcW w:w="937" w:type="dxa"/>
            <w:shd w:val="clear" w:color="auto" w:fill="F1F1F1" w:themeFill="background1" w:themeFillShade="F2"/>
            <w:vAlign w:val="center"/>
          </w:tcPr>
          <w:p w14:paraId="4D586A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约束性</w:t>
            </w:r>
          </w:p>
        </w:tc>
      </w:tr>
      <w:tr w14:paraId="6790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auto"/>
            <w:vAlign w:val="center"/>
          </w:tcPr>
          <w:p w14:paraId="51E041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3</w:t>
            </w:r>
          </w:p>
        </w:tc>
        <w:tc>
          <w:tcPr>
            <w:tcW w:w="693" w:type="dxa"/>
            <w:vMerge w:val="continue"/>
            <w:shd w:val="clear" w:color="auto" w:fill="auto"/>
            <w:vAlign w:val="center"/>
          </w:tcPr>
          <w:p w14:paraId="0485C0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6618C4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auto"/>
            <w:vAlign w:val="center"/>
          </w:tcPr>
          <w:p w14:paraId="2E7266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宋体" w:cs="Times New Roman"/>
                <w:color w:val="auto"/>
                <w:w w:val="90"/>
                <w:sz w:val="21"/>
                <w:szCs w:val="21"/>
                <w:highlight w:val="none"/>
                <w:lang w:val="en-US" w:eastAsia="zh-CN" w:bidi="ar-SA"/>
              </w:rPr>
            </w:pPr>
            <w:r>
              <w:rPr>
                <w:rFonts w:hint="default" w:ascii="Times New Roman" w:hAnsi="Times New Roman" w:eastAsia="宋体" w:cs="Times New Roman"/>
                <w:color w:val="auto"/>
                <w:w w:val="90"/>
                <w:sz w:val="21"/>
                <w:szCs w:val="21"/>
                <w:lang w:val="en-US" w:eastAsia="zh-CN"/>
              </w:rPr>
              <w:t>地方粮食储备完成率</w:t>
            </w:r>
          </w:p>
        </w:tc>
        <w:tc>
          <w:tcPr>
            <w:tcW w:w="700" w:type="dxa"/>
            <w:shd w:val="clear" w:color="auto" w:fill="auto"/>
            <w:vAlign w:val="center"/>
          </w:tcPr>
          <w:p w14:paraId="2E3DF1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1047" w:type="dxa"/>
            <w:shd w:val="clear" w:color="auto" w:fill="auto"/>
            <w:vAlign w:val="center"/>
          </w:tcPr>
          <w:p w14:paraId="28A01D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w:t>
            </w:r>
          </w:p>
        </w:tc>
        <w:tc>
          <w:tcPr>
            <w:tcW w:w="1047" w:type="dxa"/>
            <w:shd w:val="clear" w:color="auto" w:fill="auto"/>
            <w:vAlign w:val="center"/>
          </w:tcPr>
          <w:p w14:paraId="19702C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100</w:t>
            </w:r>
          </w:p>
        </w:tc>
        <w:tc>
          <w:tcPr>
            <w:tcW w:w="937" w:type="dxa"/>
            <w:shd w:val="clear" w:color="auto" w:fill="auto"/>
            <w:vAlign w:val="center"/>
          </w:tcPr>
          <w:p w14:paraId="54880D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约束性</w:t>
            </w:r>
          </w:p>
        </w:tc>
      </w:tr>
      <w:tr w14:paraId="532C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F1F1F1" w:themeFill="background1" w:themeFillShade="F2"/>
            <w:vAlign w:val="center"/>
          </w:tcPr>
          <w:p w14:paraId="0B7C8C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4</w:t>
            </w:r>
          </w:p>
        </w:tc>
        <w:tc>
          <w:tcPr>
            <w:tcW w:w="693" w:type="dxa"/>
            <w:vMerge w:val="continue"/>
            <w:shd w:val="clear" w:color="auto" w:fill="auto"/>
            <w:vAlign w:val="center"/>
          </w:tcPr>
          <w:p w14:paraId="2D316B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7AB37F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F1F1F1" w:themeFill="background1" w:themeFillShade="F2"/>
            <w:vAlign w:val="center"/>
          </w:tcPr>
          <w:p w14:paraId="769496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宋体" w:cs="Times New Roman"/>
                <w:color w:val="auto"/>
                <w:w w:val="90"/>
                <w:sz w:val="21"/>
                <w:szCs w:val="21"/>
                <w:highlight w:val="none"/>
                <w:lang w:val="en-US" w:eastAsia="zh-CN" w:bidi="ar-SA"/>
              </w:rPr>
            </w:pPr>
            <w:r>
              <w:rPr>
                <w:rFonts w:hint="default" w:ascii="Times New Roman" w:hAnsi="Times New Roman" w:eastAsia="宋体" w:cs="Times New Roman"/>
                <w:color w:val="auto"/>
                <w:w w:val="90"/>
                <w:sz w:val="21"/>
                <w:szCs w:val="21"/>
                <w:highlight w:val="none"/>
                <w:lang w:val="en-US" w:eastAsia="zh-CN" w:bidi="ar-SA"/>
              </w:rPr>
              <w:t>粮食应急网点落实率</w:t>
            </w:r>
          </w:p>
        </w:tc>
        <w:tc>
          <w:tcPr>
            <w:tcW w:w="700" w:type="dxa"/>
            <w:shd w:val="clear" w:color="auto" w:fill="F1F1F1" w:themeFill="background1" w:themeFillShade="F2"/>
            <w:vAlign w:val="center"/>
          </w:tcPr>
          <w:p w14:paraId="77FABB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w:t>
            </w:r>
          </w:p>
        </w:tc>
        <w:tc>
          <w:tcPr>
            <w:tcW w:w="1047" w:type="dxa"/>
            <w:shd w:val="clear" w:color="auto" w:fill="F1F1F1" w:themeFill="background1" w:themeFillShade="F2"/>
            <w:vAlign w:val="center"/>
          </w:tcPr>
          <w:p w14:paraId="6760C5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100</w:t>
            </w:r>
          </w:p>
        </w:tc>
        <w:tc>
          <w:tcPr>
            <w:tcW w:w="1047" w:type="dxa"/>
            <w:shd w:val="clear" w:color="auto" w:fill="F1F1F1" w:themeFill="background1" w:themeFillShade="F2"/>
            <w:vAlign w:val="center"/>
          </w:tcPr>
          <w:p w14:paraId="3696E1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100</w:t>
            </w:r>
          </w:p>
        </w:tc>
        <w:tc>
          <w:tcPr>
            <w:tcW w:w="937" w:type="dxa"/>
            <w:shd w:val="clear" w:color="auto" w:fill="F1F1F1" w:themeFill="background1" w:themeFillShade="F2"/>
            <w:vAlign w:val="center"/>
          </w:tcPr>
          <w:p w14:paraId="23AEB9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约束性</w:t>
            </w:r>
          </w:p>
        </w:tc>
      </w:tr>
      <w:tr w14:paraId="4BA3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auto"/>
            <w:vAlign w:val="center"/>
          </w:tcPr>
          <w:p w14:paraId="5EC590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5</w:t>
            </w:r>
          </w:p>
        </w:tc>
        <w:tc>
          <w:tcPr>
            <w:tcW w:w="693" w:type="dxa"/>
            <w:vMerge w:val="continue"/>
            <w:shd w:val="clear" w:color="auto" w:fill="auto"/>
            <w:vAlign w:val="center"/>
          </w:tcPr>
          <w:p w14:paraId="684E5D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600A98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auto"/>
            <w:vAlign w:val="center"/>
          </w:tcPr>
          <w:p w14:paraId="692450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宋体" w:cs="Times New Roman"/>
                <w:color w:val="auto"/>
                <w:w w:val="90"/>
                <w:sz w:val="21"/>
                <w:szCs w:val="21"/>
                <w:lang w:val="en-US" w:eastAsia="zh-CN" w:bidi="ar-SA"/>
              </w:rPr>
            </w:pPr>
            <w:r>
              <w:rPr>
                <w:rFonts w:hint="default" w:ascii="Times New Roman" w:hAnsi="Times New Roman" w:eastAsia="宋体" w:cs="Times New Roman"/>
                <w:color w:val="auto"/>
                <w:w w:val="90"/>
                <w:sz w:val="21"/>
                <w:szCs w:val="21"/>
                <w:lang w:eastAsia="zh-CN"/>
              </w:rPr>
              <w:t>地方粮食企业现代型仓储设施覆盖率</w:t>
            </w:r>
          </w:p>
        </w:tc>
        <w:tc>
          <w:tcPr>
            <w:tcW w:w="700" w:type="dxa"/>
            <w:shd w:val="clear" w:color="auto" w:fill="auto"/>
            <w:vAlign w:val="center"/>
          </w:tcPr>
          <w:p w14:paraId="373138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1047" w:type="dxa"/>
            <w:shd w:val="clear" w:color="auto" w:fill="auto"/>
            <w:vAlign w:val="center"/>
          </w:tcPr>
          <w:p w14:paraId="3C6C03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84.22</w:t>
            </w:r>
          </w:p>
        </w:tc>
        <w:tc>
          <w:tcPr>
            <w:tcW w:w="1047" w:type="dxa"/>
            <w:shd w:val="clear" w:color="auto" w:fill="auto"/>
            <w:vAlign w:val="center"/>
          </w:tcPr>
          <w:p w14:paraId="7BE267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97</w:t>
            </w:r>
          </w:p>
        </w:tc>
        <w:tc>
          <w:tcPr>
            <w:tcW w:w="937" w:type="dxa"/>
            <w:shd w:val="clear" w:color="auto" w:fill="auto"/>
            <w:vAlign w:val="center"/>
          </w:tcPr>
          <w:p w14:paraId="1569C8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预期性</w:t>
            </w:r>
          </w:p>
        </w:tc>
      </w:tr>
      <w:tr w14:paraId="1FFA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F1F1F1" w:themeFill="background1" w:themeFillShade="F2"/>
            <w:vAlign w:val="center"/>
          </w:tcPr>
          <w:p w14:paraId="105CBD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6</w:t>
            </w:r>
          </w:p>
        </w:tc>
        <w:tc>
          <w:tcPr>
            <w:tcW w:w="693" w:type="dxa"/>
            <w:vMerge w:val="continue"/>
            <w:shd w:val="clear" w:color="auto" w:fill="auto"/>
            <w:vAlign w:val="center"/>
          </w:tcPr>
          <w:p w14:paraId="644176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4BE4D9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F1F1F1" w:themeFill="background1" w:themeFillShade="F2"/>
            <w:vAlign w:val="center"/>
          </w:tcPr>
          <w:p w14:paraId="22AA8C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rPr>
            </w:pPr>
            <w:r>
              <w:rPr>
                <w:rFonts w:hint="default" w:ascii="Times New Roman" w:hAnsi="Times New Roman" w:eastAsia="宋体" w:cs="Times New Roman"/>
                <w:color w:val="auto"/>
                <w:w w:val="90"/>
                <w:sz w:val="21"/>
                <w:szCs w:val="21"/>
              </w:rPr>
              <w:t>油料总产量</w:t>
            </w:r>
          </w:p>
        </w:tc>
        <w:tc>
          <w:tcPr>
            <w:tcW w:w="700" w:type="dxa"/>
            <w:shd w:val="clear" w:color="auto" w:fill="F1F1F1" w:themeFill="background1" w:themeFillShade="F2"/>
            <w:vAlign w:val="center"/>
          </w:tcPr>
          <w:p w14:paraId="62BA2A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万吨</w:t>
            </w:r>
          </w:p>
        </w:tc>
        <w:tc>
          <w:tcPr>
            <w:tcW w:w="1047" w:type="dxa"/>
            <w:shd w:val="clear" w:color="auto" w:fill="F1F1F1" w:themeFill="background1" w:themeFillShade="F2"/>
            <w:vAlign w:val="center"/>
          </w:tcPr>
          <w:p w14:paraId="7E8BAB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5.50</w:t>
            </w:r>
          </w:p>
        </w:tc>
        <w:tc>
          <w:tcPr>
            <w:tcW w:w="1047" w:type="dxa"/>
            <w:shd w:val="clear" w:color="auto" w:fill="F1F1F1" w:themeFill="background1" w:themeFillShade="F2"/>
            <w:vAlign w:val="center"/>
          </w:tcPr>
          <w:p w14:paraId="01C5B9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5.60</w:t>
            </w:r>
          </w:p>
        </w:tc>
        <w:tc>
          <w:tcPr>
            <w:tcW w:w="937" w:type="dxa"/>
            <w:shd w:val="clear" w:color="auto" w:fill="F1F1F1" w:themeFill="background1" w:themeFillShade="F2"/>
            <w:vAlign w:val="center"/>
          </w:tcPr>
          <w:p w14:paraId="737AFC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预期性</w:t>
            </w:r>
          </w:p>
        </w:tc>
      </w:tr>
      <w:tr w14:paraId="18DF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auto"/>
            <w:vAlign w:val="center"/>
          </w:tcPr>
          <w:p w14:paraId="343D26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7</w:t>
            </w:r>
          </w:p>
        </w:tc>
        <w:tc>
          <w:tcPr>
            <w:tcW w:w="693" w:type="dxa"/>
            <w:vMerge w:val="continue"/>
            <w:shd w:val="clear" w:color="auto" w:fill="auto"/>
            <w:vAlign w:val="center"/>
          </w:tcPr>
          <w:p w14:paraId="025539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66D42A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auto"/>
            <w:vAlign w:val="center"/>
          </w:tcPr>
          <w:p w14:paraId="3F13BA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rPr>
            </w:pPr>
            <w:r>
              <w:rPr>
                <w:rFonts w:hint="default" w:ascii="Times New Roman" w:hAnsi="Times New Roman" w:eastAsia="宋体" w:cs="Times New Roman"/>
                <w:color w:val="auto"/>
                <w:w w:val="90"/>
                <w:sz w:val="21"/>
                <w:szCs w:val="21"/>
              </w:rPr>
              <w:t>肉类总产量</w:t>
            </w:r>
          </w:p>
        </w:tc>
        <w:tc>
          <w:tcPr>
            <w:tcW w:w="700" w:type="dxa"/>
            <w:shd w:val="clear" w:color="auto" w:fill="auto"/>
            <w:vAlign w:val="center"/>
          </w:tcPr>
          <w:p w14:paraId="489FAA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万吨</w:t>
            </w:r>
          </w:p>
        </w:tc>
        <w:tc>
          <w:tcPr>
            <w:tcW w:w="1047" w:type="dxa"/>
            <w:shd w:val="clear" w:color="auto" w:fill="auto"/>
            <w:vAlign w:val="center"/>
          </w:tcPr>
          <w:p w14:paraId="6642F4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4.03</w:t>
            </w:r>
          </w:p>
        </w:tc>
        <w:tc>
          <w:tcPr>
            <w:tcW w:w="1047" w:type="dxa"/>
            <w:shd w:val="clear" w:color="auto" w:fill="auto"/>
            <w:vAlign w:val="center"/>
          </w:tcPr>
          <w:p w14:paraId="532A8B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3.58</w:t>
            </w:r>
            <w:r>
              <w:rPr>
                <w:rFonts w:hint="default" w:ascii="Times New Roman" w:hAnsi="Times New Roman" w:eastAsia="宋体" w:cs="Times New Roman"/>
                <w:color w:val="auto"/>
                <w:sz w:val="21"/>
                <w:szCs w:val="21"/>
                <w:lang w:val="en-US" w:eastAsia="zh-CN"/>
              </w:rPr>
              <w:t>*</w:t>
            </w:r>
          </w:p>
        </w:tc>
        <w:tc>
          <w:tcPr>
            <w:tcW w:w="937" w:type="dxa"/>
            <w:shd w:val="clear" w:color="auto" w:fill="auto"/>
            <w:vAlign w:val="center"/>
          </w:tcPr>
          <w:p w14:paraId="54E3C3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预期性</w:t>
            </w:r>
          </w:p>
        </w:tc>
      </w:tr>
      <w:tr w14:paraId="4B57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F1F1F1" w:themeFill="background1" w:themeFillShade="F2"/>
            <w:vAlign w:val="center"/>
          </w:tcPr>
          <w:p w14:paraId="57C5EF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8</w:t>
            </w:r>
          </w:p>
        </w:tc>
        <w:tc>
          <w:tcPr>
            <w:tcW w:w="693" w:type="dxa"/>
            <w:vMerge w:val="continue"/>
            <w:shd w:val="clear" w:color="auto" w:fill="auto"/>
            <w:vAlign w:val="center"/>
          </w:tcPr>
          <w:p w14:paraId="480B4F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569842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F1F1F1" w:themeFill="background1" w:themeFillShade="F2"/>
            <w:vAlign w:val="center"/>
          </w:tcPr>
          <w:p w14:paraId="044070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rPr>
            </w:pPr>
            <w:r>
              <w:rPr>
                <w:rFonts w:hint="default" w:ascii="Times New Roman" w:hAnsi="Times New Roman" w:eastAsia="宋体" w:cs="Times New Roman"/>
                <w:color w:val="auto"/>
                <w:w w:val="90"/>
                <w:sz w:val="21"/>
                <w:szCs w:val="21"/>
              </w:rPr>
              <w:t>耕地质量等级</w:t>
            </w:r>
          </w:p>
        </w:tc>
        <w:tc>
          <w:tcPr>
            <w:tcW w:w="700" w:type="dxa"/>
            <w:shd w:val="clear" w:color="auto" w:fill="F1F1F1" w:themeFill="background1" w:themeFillShade="F2"/>
            <w:vAlign w:val="center"/>
          </w:tcPr>
          <w:p w14:paraId="1AE8EF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047" w:type="dxa"/>
            <w:shd w:val="clear" w:color="auto" w:fill="F1F1F1" w:themeFill="background1" w:themeFillShade="F2"/>
            <w:vAlign w:val="center"/>
          </w:tcPr>
          <w:p w14:paraId="6F237F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047" w:type="dxa"/>
            <w:shd w:val="clear" w:color="auto" w:fill="F1F1F1" w:themeFill="background1" w:themeFillShade="F2"/>
            <w:vAlign w:val="center"/>
          </w:tcPr>
          <w:p w14:paraId="4C6ED5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4.85</w:t>
            </w:r>
          </w:p>
        </w:tc>
        <w:tc>
          <w:tcPr>
            <w:tcW w:w="937" w:type="dxa"/>
            <w:shd w:val="clear" w:color="auto" w:fill="F1F1F1" w:themeFill="background1" w:themeFillShade="F2"/>
            <w:vAlign w:val="center"/>
          </w:tcPr>
          <w:p w14:paraId="2CBE82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预期性</w:t>
            </w:r>
          </w:p>
        </w:tc>
      </w:tr>
      <w:tr w14:paraId="32E0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auto"/>
            <w:vAlign w:val="center"/>
          </w:tcPr>
          <w:p w14:paraId="6B3113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9</w:t>
            </w:r>
          </w:p>
        </w:tc>
        <w:tc>
          <w:tcPr>
            <w:tcW w:w="693" w:type="dxa"/>
            <w:vMerge w:val="continue"/>
            <w:shd w:val="clear" w:color="auto" w:fill="auto"/>
            <w:vAlign w:val="center"/>
          </w:tcPr>
          <w:p w14:paraId="643194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30A9CC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auto"/>
            <w:vAlign w:val="center"/>
          </w:tcPr>
          <w:p w14:paraId="5DA197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rPr>
            </w:pPr>
            <w:r>
              <w:rPr>
                <w:rFonts w:hint="default" w:ascii="Times New Roman" w:hAnsi="Times New Roman" w:eastAsia="宋体" w:cs="Times New Roman"/>
                <w:color w:val="auto"/>
                <w:w w:val="90"/>
                <w:sz w:val="21"/>
                <w:szCs w:val="21"/>
              </w:rPr>
              <w:t>农业</w:t>
            </w:r>
            <w:r>
              <w:rPr>
                <w:rFonts w:hint="default" w:ascii="Times New Roman" w:hAnsi="Times New Roman" w:eastAsia="宋体" w:cs="Times New Roman"/>
                <w:color w:val="auto"/>
                <w:w w:val="90"/>
                <w:sz w:val="21"/>
                <w:szCs w:val="21"/>
                <w:lang w:eastAsia="zh-CN"/>
              </w:rPr>
              <w:t>劳动生产率</w:t>
            </w:r>
          </w:p>
        </w:tc>
        <w:tc>
          <w:tcPr>
            <w:tcW w:w="700" w:type="dxa"/>
            <w:shd w:val="clear" w:color="auto" w:fill="auto"/>
            <w:vAlign w:val="center"/>
          </w:tcPr>
          <w:p w14:paraId="40D0E2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0"/>
                <w:w w:val="80"/>
                <w:sz w:val="21"/>
                <w:szCs w:val="21"/>
              </w:rPr>
              <w:t>万元/人</w:t>
            </w:r>
          </w:p>
        </w:tc>
        <w:tc>
          <w:tcPr>
            <w:tcW w:w="1047" w:type="dxa"/>
            <w:shd w:val="clear" w:color="auto" w:fill="auto"/>
            <w:vAlign w:val="center"/>
          </w:tcPr>
          <w:p w14:paraId="6890EF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047" w:type="dxa"/>
            <w:shd w:val="clear" w:color="auto" w:fill="auto"/>
            <w:vAlign w:val="center"/>
          </w:tcPr>
          <w:p w14:paraId="43E682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11.5</w:t>
            </w:r>
            <w:r>
              <w:rPr>
                <w:rFonts w:hint="default" w:ascii="Times New Roman" w:hAnsi="Times New Roman" w:eastAsia="宋体" w:cs="Times New Roman"/>
                <w:color w:val="auto"/>
                <w:sz w:val="21"/>
                <w:szCs w:val="21"/>
                <w:lang w:val="en-US" w:eastAsia="zh-CN"/>
              </w:rPr>
              <w:t>0</w:t>
            </w:r>
          </w:p>
        </w:tc>
        <w:tc>
          <w:tcPr>
            <w:tcW w:w="937" w:type="dxa"/>
            <w:shd w:val="clear" w:color="auto" w:fill="auto"/>
            <w:vAlign w:val="center"/>
          </w:tcPr>
          <w:p w14:paraId="28E6EB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预期性</w:t>
            </w:r>
          </w:p>
        </w:tc>
      </w:tr>
      <w:tr w14:paraId="3A4E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F1F1F1" w:themeFill="background1" w:themeFillShade="F2"/>
            <w:vAlign w:val="center"/>
          </w:tcPr>
          <w:p w14:paraId="31D42B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1</w:t>
            </w:r>
            <w:r>
              <w:rPr>
                <w:rFonts w:hint="eastAsia" w:ascii="Times New Roman" w:hAnsi="Times New Roman" w:eastAsia="宋体" w:cs="Times New Roman"/>
                <w:color w:val="auto"/>
                <w:sz w:val="21"/>
                <w:szCs w:val="21"/>
                <w:lang w:val="en-US" w:eastAsia="zh-CN" w:bidi="ar-SA"/>
              </w:rPr>
              <w:t>0</w:t>
            </w:r>
          </w:p>
        </w:tc>
        <w:tc>
          <w:tcPr>
            <w:tcW w:w="693" w:type="dxa"/>
            <w:vMerge w:val="continue"/>
            <w:shd w:val="clear" w:color="auto" w:fill="auto"/>
            <w:vAlign w:val="center"/>
          </w:tcPr>
          <w:p w14:paraId="484A76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709115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F1F1F1" w:themeFill="background1" w:themeFillShade="F2"/>
            <w:vAlign w:val="center"/>
          </w:tcPr>
          <w:p w14:paraId="5C5053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lang w:eastAsia="zh-CN"/>
              </w:rPr>
            </w:pPr>
            <w:r>
              <w:rPr>
                <w:rFonts w:hint="default" w:ascii="Times New Roman" w:hAnsi="Times New Roman" w:eastAsia="宋体" w:cs="Times New Roman"/>
                <w:color w:val="auto"/>
                <w:w w:val="90"/>
                <w:sz w:val="21"/>
                <w:szCs w:val="21"/>
              </w:rPr>
              <w:t>农业</w:t>
            </w:r>
            <w:r>
              <w:rPr>
                <w:rFonts w:hint="default" w:ascii="Times New Roman" w:hAnsi="Times New Roman" w:eastAsia="宋体" w:cs="Times New Roman"/>
                <w:color w:val="auto"/>
                <w:w w:val="90"/>
                <w:sz w:val="21"/>
                <w:szCs w:val="21"/>
                <w:lang w:eastAsia="zh-CN"/>
              </w:rPr>
              <w:t>生产总值</w:t>
            </w:r>
          </w:p>
        </w:tc>
        <w:tc>
          <w:tcPr>
            <w:tcW w:w="700" w:type="dxa"/>
            <w:shd w:val="clear" w:color="auto" w:fill="F1F1F1" w:themeFill="background1" w:themeFillShade="F2"/>
            <w:vAlign w:val="center"/>
          </w:tcPr>
          <w:p w14:paraId="408957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亿元</w:t>
            </w:r>
          </w:p>
        </w:tc>
        <w:tc>
          <w:tcPr>
            <w:tcW w:w="1047" w:type="dxa"/>
            <w:shd w:val="clear" w:color="auto" w:fill="F1F1F1" w:themeFill="background1" w:themeFillShade="F2"/>
            <w:vAlign w:val="center"/>
          </w:tcPr>
          <w:p w14:paraId="6C29BC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95.67</w:t>
            </w:r>
          </w:p>
        </w:tc>
        <w:tc>
          <w:tcPr>
            <w:tcW w:w="1047" w:type="dxa"/>
            <w:shd w:val="clear" w:color="auto" w:fill="F1F1F1" w:themeFill="background1" w:themeFillShade="F2"/>
            <w:vAlign w:val="center"/>
          </w:tcPr>
          <w:p w14:paraId="5B9147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120</w:t>
            </w:r>
          </w:p>
        </w:tc>
        <w:tc>
          <w:tcPr>
            <w:tcW w:w="937" w:type="dxa"/>
            <w:shd w:val="clear" w:color="auto" w:fill="F1F1F1" w:themeFill="background1" w:themeFillShade="F2"/>
            <w:vAlign w:val="center"/>
          </w:tcPr>
          <w:p w14:paraId="7A5999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预期性</w:t>
            </w:r>
          </w:p>
        </w:tc>
      </w:tr>
      <w:tr w14:paraId="574E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auto"/>
            <w:vAlign w:val="center"/>
          </w:tcPr>
          <w:p w14:paraId="73DF2B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11</w:t>
            </w:r>
          </w:p>
        </w:tc>
        <w:tc>
          <w:tcPr>
            <w:tcW w:w="693" w:type="dxa"/>
            <w:vMerge w:val="continue"/>
            <w:shd w:val="clear" w:color="auto" w:fill="auto"/>
            <w:vAlign w:val="center"/>
          </w:tcPr>
          <w:p w14:paraId="23C4EE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restart"/>
            <w:shd w:val="clear" w:color="auto" w:fill="auto"/>
            <w:vAlign w:val="center"/>
          </w:tcPr>
          <w:p w14:paraId="11C7FC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产业</w:t>
            </w:r>
          </w:p>
          <w:p w14:paraId="4E8113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发展</w:t>
            </w:r>
          </w:p>
        </w:tc>
        <w:tc>
          <w:tcPr>
            <w:tcW w:w="2987" w:type="dxa"/>
            <w:shd w:val="clear" w:color="auto" w:fill="auto"/>
            <w:vAlign w:val="center"/>
          </w:tcPr>
          <w:p w14:paraId="11A918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rPr>
            </w:pPr>
            <w:r>
              <w:rPr>
                <w:rFonts w:hint="default" w:ascii="Times New Roman" w:hAnsi="Times New Roman" w:eastAsia="宋体" w:cs="Times New Roman"/>
                <w:color w:val="auto"/>
                <w:w w:val="90"/>
                <w:sz w:val="21"/>
                <w:szCs w:val="21"/>
              </w:rPr>
              <w:t>规模以上农产品加工业产值</w:t>
            </w:r>
          </w:p>
        </w:tc>
        <w:tc>
          <w:tcPr>
            <w:tcW w:w="700" w:type="dxa"/>
            <w:shd w:val="clear" w:color="auto" w:fill="auto"/>
            <w:vAlign w:val="center"/>
          </w:tcPr>
          <w:p w14:paraId="25A561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亿元</w:t>
            </w:r>
          </w:p>
        </w:tc>
        <w:tc>
          <w:tcPr>
            <w:tcW w:w="1047" w:type="dxa"/>
            <w:shd w:val="clear" w:color="auto" w:fill="auto"/>
            <w:vAlign w:val="center"/>
          </w:tcPr>
          <w:p w14:paraId="7091E5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119.3</w:t>
            </w:r>
          </w:p>
        </w:tc>
        <w:tc>
          <w:tcPr>
            <w:tcW w:w="1047" w:type="dxa"/>
            <w:shd w:val="clear" w:color="auto" w:fill="auto"/>
            <w:vAlign w:val="center"/>
          </w:tcPr>
          <w:p w14:paraId="0AEE21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w:t>
            </w:r>
            <w:r>
              <w:rPr>
                <w:rFonts w:hint="default" w:ascii="Times New Roman" w:hAnsi="Times New Roman" w:eastAsia="宋体" w:cs="Times New Roman"/>
                <w:color w:val="auto"/>
                <w:sz w:val="21"/>
                <w:szCs w:val="21"/>
                <w:lang w:val="en-US" w:eastAsia="zh-CN"/>
              </w:rPr>
              <w:t>50</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00</w:t>
            </w:r>
          </w:p>
        </w:tc>
        <w:tc>
          <w:tcPr>
            <w:tcW w:w="937" w:type="dxa"/>
            <w:shd w:val="clear" w:color="auto" w:fill="auto"/>
            <w:vAlign w:val="center"/>
          </w:tcPr>
          <w:p w14:paraId="3C4E2F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预期性</w:t>
            </w:r>
          </w:p>
        </w:tc>
      </w:tr>
      <w:tr w14:paraId="1E0B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F1F1F1" w:themeFill="background1" w:themeFillShade="F2"/>
            <w:vAlign w:val="center"/>
          </w:tcPr>
          <w:p w14:paraId="0BE522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12</w:t>
            </w:r>
          </w:p>
        </w:tc>
        <w:tc>
          <w:tcPr>
            <w:tcW w:w="693" w:type="dxa"/>
            <w:vMerge w:val="continue"/>
            <w:shd w:val="clear" w:color="auto" w:fill="auto"/>
            <w:vAlign w:val="center"/>
          </w:tcPr>
          <w:p w14:paraId="6B8753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6B991F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F1F1F1" w:themeFill="background1" w:themeFillShade="F2"/>
            <w:vAlign w:val="center"/>
          </w:tcPr>
          <w:p w14:paraId="5941EA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rPr>
            </w:pPr>
            <w:r>
              <w:rPr>
                <w:rFonts w:hint="default" w:ascii="Times New Roman" w:hAnsi="Times New Roman" w:eastAsia="宋体" w:cs="Times New Roman"/>
                <w:color w:val="auto"/>
                <w:w w:val="90"/>
                <w:sz w:val="21"/>
                <w:szCs w:val="21"/>
              </w:rPr>
              <w:t>区域公用品牌</w:t>
            </w:r>
          </w:p>
        </w:tc>
        <w:tc>
          <w:tcPr>
            <w:tcW w:w="700" w:type="dxa"/>
            <w:shd w:val="clear" w:color="auto" w:fill="F1F1F1" w:themeFill="background1" w:themeFillShade="F2"/>
            <w:vAlign w:val="center"/>
          </w:tcPr>
          <w:p w14:paraId="16EF7F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个</w:t>
            </w:r>
          </w:p>
        </w:tc>
        <w:tc>
          <w:tcPr>
            <w:tcW w:w="1047" w:type="dxa"/>
            <w:shd w:val="clear" w:color="auto" w:fill="F1F1F1" w:themeFill="background1" w:themeFillShade="F2"/>
            <w:vAlign w:val="center"/>
          </w:tcPr>
          <w:p w14:paraId="47CD6E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1047" w:type="dxa"/>
            <w:shd w:val="clear" w:color="auto" w:fill="F1F1F1" w:themeFill="background1" w:themeFillShade="F2"/>
            <w:vAlign w:val="center"/>
          </w:tcPr>
          <w:p w14:paraId="1B9B0F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937" w:type="dxa"/>
            <w:shd w:val="clear" w:color="auto" w:fill="F1F1F1" w:themeFill="background1" w:themeFillShade="F2"/>
            <w:vAlign w:val="center"/>
          </w:tcPr>
          <w:p w14:paraId="28A93F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预期性</w:t>
            </w:r>
          </w:p>
        </w:tc>
      </w:tr>
      <w:tr w14:paraId="39CF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auto"/>
            <w:vAlign w:val="center"/>
          </w:tcPr>
          <w:p w14:paraId="586415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13</w:t>
            </w:r>
          </w:p>
        </w:tc>
        <w:tc>
          <w:tcPr>
            <w:tcW w:w="693" w:type="dxa"/>
            <w:vMerge w:val="continue"/>
            <w:shd w:val="clear" w:color="auto" w:fill="auto"/>
            <w:vAlign w:val="center"/>
          </w:tcPr>
          <w:p w14:paraId="757382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restart"/>
            <w:shd w:val="clear" w:color="auto" w:fill="auto"/>
            <w:vAlign w:val="center"/>
          </w:tcPr>
          <w:p w14:paraId="2F9BFC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农业</w:t>
            </w:r>
          </w:p>
          <w:p w14:paraId="79C57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科技</w:t>
            </w:r>
          </w:p>
          <w:p w14:paraId="426EBA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装备</w:t>
            </w:r>
          </w:p>
        </w:tc>
        <w:tc>
          <w:tcPr>
            <w:tcW w:w="2987" w:type="dxa"/>
            <w:shd w:val="clear" w:color="auto" w:fill="auto"/>
            <w:vAlign w:val="center"/>
          </w:tcPr>
          <w:p w14:paraId="3CB300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lang w:val="en-US" w:eastAsia="zh-CN"/>
              </w:rPr>
            </w:pPr>
            <w:r>
              <w:rPr>
                <w:rFonts w:hint="default" w:ascii="Times New Roman" w:hAnsi="Times New Roman" w:eastAsia="宋体" w:cs="Times New Roman"/>
                <w:color w:val="auto"/>
                <w:w w:val="80"/>
                <w:sz w:val="21"/>
                <w:szCs w:val="21"/>
                <w:highlight w:val="none"/>
              </w:rPr>
              <w:t>高标准农田面积</w:t>
            </w:r>
            <w:r>
              <w:rPr>
                <w:rFonts w:hint="default" w:ascii="Times New Roman" w:hAnsi="Times New Roman" w:eastAsia="宋体" w:cs="Times New Roman"/>
                <w:color w:val="auto"/>
                <w:w w:val="80"/>
                <w:sz w:val="21"/>
                <w:szCs w:val="21"/>
                <w:highlight w:val="none"/>
                <w:lang w:val="en-US" w:eastAsia="zh-CN"/>
              </w:rPr>
              <w:t>占永久基本农田比例</w:t>
            </w:r>
          </w:p>
        </w:tc>
        <w:tc>
          <w:tcPr>
            <w:tcW w:w="700" w:type="dxa"/>
            <w:shd w:val="clear" w:color="auto" w:fill="auto"/>
            <w:vAlign w:val="center"/>
          </w:tcPr>
          <w:p w14:paraId="5615F5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w:t>
            </w:r>
          </w:p>
        </w:tc>
        <w:tc>
          <w:tcPr>
            <w:tcW w:w="1047" w:type="dxa"/>
            <w:shd w:val="clear" w:color="auto" w:fill="auto"/>
            <w:vAlign w:val="center"/>
          </w:tcPr>
          <w:p w14:paraId="5AB9E8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87.00</w:t>
            </w:r>
          </w:p>
        </w:tc>
        <w:tc>
          <w:tcPr>
            <w:tcW w:w="1047" w:type="dxa"/>
            <w:shd w:val="clear" w:color="auto" w:fill="auto"/>
            <w:vAlign w:val="center"/>
          </w:tcPr>
          <w:p w14:paraId="222D0D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88.00</w:t>
            </w:r>
          </w:p>
        </w:tc>
        <w:tc>
          <w:tcPr>
            <w:tcW w:w="937" w:type="dxa"/>
            <w:shd w:val="clear" w:color="auto" w:fill="auto"/>
            <w:vAlign w:val="center"/>
          </w:tcPr>
          <w:p w14:paraId="3D1D52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rPr>
              <w:t>约束性</w:t>
            </w:r>
          </w:p>
        </w:tc>
      </w:tr>
      <w:tr w14:paraId="3A5E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05" w:hRule="exact"/>
          <w:jc w:val="center"/>
        </w:trPr>
        <w:tc>
          <w:tcPr>
            <w:tcW w:w="569" w:type="dxa"/>
            <w:shd w:val="clear" w:color="auto" w:fill="F1F1F1" w:themeFill="background1" w:themeFillShade="F2"/>
            <w:vAlign w:val="center"/>
          </w:tcPr>
          <w:p w14:paraId="41E6F6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4</w:t>
            </w:r>
          </w:p>
        </w:tc>
        <w:tc>
          <w:tcPr>
            <w:tcW w:w="693" w:type="dxa"/>
            <w:vMerge w:val="continue"/>
            <w:shd w:val="clear" w:color="auto" w:fill="auto"/>
            <w:vAlign w:val="center"/>
          </w:tcPr>
          <w:p w14:paraId="2FA34E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3C0F04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F1F1F1" w:themeFill="background1" w:themeFillShade="F2"/>
            <w:vAlign w:val="center"/>
          </w:tcPr>
          <w:p w14:paraId="53BB64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lang w:val="en-US" w:eastAsia="zh-CN"/>
              </w:rPr>
            </w:pPr>
            <w:r>
              <w:rPr>
                <w:rFonts w:hint="default" w:ascii="Times New Roman" w:hAnsi="Times New Roman" w:eastAsia="宋体" w:cs="Times New Roman"/>
                <w:color w:val="auto"/>
                <w:w w:val="90"/>
                <w:sz w:val="21"/>
                <w:szCs w:val="21"/>
                <w:lang w:eastAsia="zh-CN"/>
              </w:rPr>
              <w:t>农作物耕种收综合机械化率</w:t>
            </w:r>
          </w:p>
        </w:tc>
        <w:tc>
          <w:tcPr>
            <w:tcW w:w="700" w:type="dxa"/>
            <w:shd w:val="clear" w:color="auto" w:fill="F1F1F1" w:themeFill="background1" w:themeFillShade="F2"/>
            <w:vAlign w:val="center"/>
          </w:tcPr>
          <w:p w14:paraId="662204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047" w:type="dxa"/>
            <w:shd w:val="clear" w:color="auto" w:fill="F1F1F1" w:themeFill="background1" w:themeFillShade="F2"/>
            <w:vAlign w:val="center"/>
          </w:tcPr>
          <w:p w14:paraId="7D4607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92</w:t>
            </w:r>
          </w:p>
        </w:tc>
        <w:tc>
          <w:tcPr>
            <w:tcW w:w="1047" w:type="dxa"/>
            <w:shd w:val="clear" w:color="auto" w:fill="F1F1F1" w:themeFill="background1" w:themeFillShade="F2"/>
            <w:vAlign w:val="center"/>
          </w:tcPr>
          <w:p w14:paraId="2E3A3A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93.00</w:t>
            </w:r>
          </w:p>
        </w:tc>
        <w:tc>
          <w:tcPr>
            <w:tcW w:w="937" w:type="dxa"/>
            <w:shd w:val="clear" w:color="auto" w:fill="F1F1F1" w:themeFill="background1" w:themeFillShade="F2"/>
            <w:vAlign w:val="center"/>
          </w:tcPr>
          <w:p w14:paraId="583B44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预期性</w:t>
            </w:r>
          </w:p>
        </w:tc>
      </w:tr>
      <w:tr w14:paraId="0FA5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05" w:hRule="exact"/>
          <w:jc w:val="center"/>
        </w:trPr>
        <w:tc>
          <w:tcPr>
            <w:tcW w:w="569" w:type="dxa"/>
            <w:shd w:val="clear" w:color="auto" w:fill="auto"/>
            <w:vAlign w:val="center"/>
          </w:tcPr>
          <w:p w14:paraId="27774F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5</w:t>
            </w:r>
          </w:p>
        </w:tc>
        <w:tc>
          <w:tcPr>
            <w:tcW w:w="693" w:type="dxa"/>
            <w:vMerge w:val="continue"/>
            <w:shd w:val="clear" w:color="auto" w:fill="auto"/>
            <w:vAlign w:val="center"/>
          </w:tcPr>
          <w:p w14:paraId="7F15B9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2A197A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auto"/>
            <w:vAlign w:val="center"/>
          </w:tcPr>
          <w:p w14:paraId="31E7FA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lang w:val="en-US" w:eastAsia="zh-CN"/>
              </w:rPr>
            </w:pPr>
            <w:r>
              <w:rPr>
                <w:rFonts w:hint="default" w:ascii="Times New Roman" w:hAnsi="Times New Roman" w:eastAsia="宋体" w:cs="Times New Roman"/>
                <w:color w:val="auto"/>
                <w:w w:val="90"/>
                <w:sz w:val="21"/>
                <w:szCs w:val="21"/>
                <w:lang w:val="en-US" w:eastAsia="zh-CN"/>
              </w:rPr>
              <w:t>农业生产信息化率</w:t>
            </w:r>
          </w:p>
        </w:tc>
        <w:tc>
          <w:tcPr>
            <w:tcW w:w="700" w:type="dxa"/>
            <w:shd w:val="clear" w:color="auto" w:fill="auto"/>
            <w:vAlign w:val="center"/>
          </w:tcPr>
          <w:p w14:paraId="421EB9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047" w:type="dxa"/>
            <w:shd w:val="clear" w:color="auto" w:fill="auto"/>
            <w:vAlign w:val="center"/>
          </w:tcPr>
          <w:p w14:paraId="0C5D3C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047" w:type="dxa"/>
            <w:shd w:val="clear" w:color="auto" w:fill="auto"/>
            <w:vAlign w:val="center"/>
          </w:tcPr>
          <w:p w14:paraId="74FAE9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w:t>
            </w:r>
          </w:p>
        </w:tc>
        <w:tc>
          <w:tcPr>
            <w:tcW w:w="937" w:type="dxa"/>
            <w:shd w:val="clear" w:color="auto" w:fill="auto"/>
            <w:vAlign w:val="center"/>
          </w:tcPr>
          <w:p w14:paraId="570C60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预期性</w:t>
            </w:r>
          </w:p>
        </w:tc>
      </w:tr>
      <w:tr w14:paraId="32ED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F1F1F1" w:themeFill="background1" w:themeFillShade="F2"/>
            <w:vAlign w:val="center"/>
          </w:tcPr>
          <w:p w14:paraId="796F0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6</w:t>
            </w:r>
          </w:p>
        </w:tc>
        <w:tc>
          <w:tcPr>
            <w:tcW w:w="693" w:type="dxa"/>
            <w:vMerge w:val="continue"/>
            <w:shd w:val="clear" w:color="auto" w:fill="auto"/>
            <w:vAlign w:val="center"/>
          </w:tcPr>
          <w:p w14:paraId="57368B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restart"/>
            <w:shd w:val="clear" w:color="auto" w:fill="auto"/>
            <w:vAlign w:val="center"/>
          </w:tcPr>
          <w:p w14:paraId="1DCC46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农业</w:t>
            </w:r>
          </w:p>
          <w:p w14:paraId="3AF2F3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经营</w:t>
            </w:r>
          </w:p>
          <w:p w14:paraId="05B605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主体</w:t>
            </w:r>
          </w:p>
        </w:tc>
        <w:tc>
          <w:tcPr>
            <w:tcW w:w="2987" w:type="dxa"/>
            <w:shd w:val="clear" w:color="auto" w:fill="F1F1F1" w:themeFill="background1" w:themeFillShade="F2"/>
            <w:vAlign w:val="center"/>
          </w:tcPr>
          <w:p w14:paraId="33E4C7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宋体" w:cs="Times New Roman"/>
                <w:color w:val="auto"/>
                <w:w w:val="90"/>
                <w:sz w:val="21"/>
                <w:szCs w:val="21"/>
                <w:lang w:val="en-US" w:eastAsia="zh-CN" w:bidi="ar-SA"/>
              </w:rPr>
            </w:pPr>
            <w:r>
              <w:rPr>
                <w:rFonts w:hint="default" w:ascii="Times New Roman" w:hAnsi="Times New Roman" w:eastAsia="宋体" w:cs="Times New Roman"/>
                <w:color w:val="auto"/>
                <w:w w:val="90"/>
                <w:sz w:val="21"/>
                <w:szCs w:val="21"/>
              </w:rPr>
              <w:t>市级以上农业龙头企业数</w:t>
            </w:r>
          </w:p>
        </w:tc>
        <w:tc>
          <w:tcPr>
            <w:tcW w:w="700" w:type="dxa"/>
            <w:shd w:val="clear" w:color="auto" w:fill="F1F1F1" w:themeFill="background1" w:themeFillShade="F2"/>
            <w:vAlign w:val="center"/>
          </w:tcPr>
          <w:p w14:paraId="1B8B6D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个</w:t>
            </w:r>
          </w:p>
        </w:tc>
        <w:tc>
          <w:tcPr>
            <w:tcW w:w="1047" w:type="dxa"/>
            <w:shd w:val="clear" w:color="auto" w:fill="F1F1F1" w:themeFill="background1" w:themeFillShade="F2"/>
            <w:vAlign w:val="center"/>
          </w:tcPr>
          <w:p w14:paraId="1AC3BA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w:t>
            </w:r>
          </w:p>
        </w:tc>
        <w:tc>
          <w:tcPr>
            <w:tcW w:w="1047" w:type="dxa"/>
            <w:shd w:val="clear" w:color="auto" w:fill="F1F1F1" w:themeFill="background1" w:themeFillShade="F2"/>
            <w:vAlign w:val="center"/>
          </w:tcPr>
          <w:p w14:paraId="67F922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0</w:t>
            </w:r>
          </w:p>
        </w:tc>
        <w:tc>
          <w:tcPr>
            <w:tcW w:w="937" w:type="dxa"/>
            <w:shd w:val="clear" w:color="auto" w:fill="F1F1F1" w:themeFill="background1" w:themeFillShade="F2"/>
            <w:vAlign w:val="center"/>
          </w:tcPr>
          <w:p w14:paraId="378925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预期性</w:t>
            </w:r>
          </w:p>
        </w:tc>
      </w:tr>
      <w:tr w14:paraId="497B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auto"/>
            <w:vAlign w:val="center"/>
          </w:tcPr>
          <w:p w14:paraId="61D931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7</w:t>
            </w:r>
          </w:p>
        </w:tc>
        <w:tc>
          <w:tcPr>
            <w:tcW w:w="693" w:type="dxa"/>
            <w:vMerge w:val="continue"/>
            <w:shd w:val="clear" w:color="auto" w:fill="auto"/>
            <w:vAlign w:val="center"/>
          </w:tcPr>
          <w:p w14:paraId="2FCB23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31BCB3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auto"/>
            <w:vAlign w:val="center"/>
          </w:tcPr>
          <w:p w14:paraId="127834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rPr>
            </w:pPr>
            <w:r>
              <w:rPr>
                <w:rFonts w:hint="default" w:ascii="Times New Roman" w:hAnsi="Times New Roman" w:eastAsia="宋体" w:cs="Times New Roman"/>
                <w:color w:val="auto"/>
                <w:w w:val="90"/>
                <w:sz w:val="21"/>
                <w:szCs w:val="21"/>
              </w:rPr>
              <w:t>区域性综合农事服务中心数</w:t>
            </w:r>
          </w:p>
        </w:tc>
        <w:tc>
          <w:tcPr>
            <w:tcW w:w="700" w:type="dxa"/>
            <w:shd w:val="clear" w:color="auto" w:fill="auto"/>
            <w:vAlign w:val="center"/>
          </w:tcPr>
          <w:p w14:paraId="60C7E6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个</w:t>
            </w:r>
          </w:p>
        </w:tc>
        <w:tc>
          <w:tcPr>
            <w:tcW w:w="1047" w:type="dxa"/>
            <w:shd w:val="clear" w:color="auto" w:fill="auto"/>
            <w:vAlign w:val="center"/>
          </w:tcPr>
          <w:p w14:paraId="1B33DD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1047" w:type="dxa"/>
            <w:shd w:val="clear" w:color="auto" w:fill="auto"/>
            <w:vAlign w:val="center"/>
          </w:tcPr>
          <w:p w14:paraId="79BEBE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4</w:t>
            </w:r>
          </w:p>
        </w:tc>
        <w:tc>
          <w:tcPr>
            <w:tcW w:w="937" w:type="dxa"/>
            <w:shd w:val="clear" w:color="auto" w:fill="auto"/>
            <w:vAlign w:val="center"/>
          </w:tcPr>
          <w:p w14:paraId="3F0948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预期性</w:t>
            </w:r>
          </w:p>
        </w:tc>
      </w:tr>
      <w:tr w14:paraId="5B6B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F1F1F1" w:themeFill="background1" w:themeFillShade="F2"/>
            <w:vAlign w:val="center"/>
          </w:tcPr>
          <w:p w14:paraId="318C3F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18</w:t>
            </w:r>
          </w:p>
        </w:tc>
        <w:tc>
          <w:tcPr>
            <w:tcW w:w="693" w:type="dxa"/>
            <w:vMerge w:val="restart"/>
            <w:shd w:val="clear" w:color="auto" w:fill="auto"/>
            <w:vAlign w:val="center"/>
          </w:tcPr>
          <w:p w14:paraId="5031E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农</w:t>
            </w:r>
          </w:p>
          <w:p w14:paraId="516CDD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村</w:t>
            </w:r>
          </w:p>
          <w:p w14:paraId="741909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美</w:t>
            </w:r>
          </w:p>
        </w:tc>
        <w:tc>
          <w:tcPr>
            <w:tcW w:w="755" w:type="dxa"/>
            <w:vMerge w:val="restart"/>
            <w:shd w:val="clear" w:color="auto" w:fill="auto"/>
            <w:vAlign w:val="center"/>
          </w:tcPr>
          <w:p w14:paraId="40B78A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宜居</w:t>
            </w:r>
          </w:p>
          <w:p w14:paraId="02732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宜业</w:t>
            </w:r>
          </w:p>
          <w:p w14:paraId="07E458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和美</w:t>
            </w:r>
          </w:p>
          <w:p w14:paraId="657809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乡村</w:t>
            </w:r>
          </w:p>
        </w:tc>
        <w:tc>
          <w:tcPr>
            <w:tcW w:w="2987" w:type="dxa"/>
            <w:shd w:val="clear" w:color="auto" w:fill="F1F1F1" w:themeFill="background1" w:themeFillShade="F2"/>
            <w:vAlign w:val="center"/>
          </w:tcPr>
          <w:p w14:paraId="2943AD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highlight w:val="none"/>
              </w:rPr>
            </w:pPr>
            <w:r>
              <w:rPr>
                <w:rFonts w:hint="default" w:ascii="Times New Roman" w:hAnsi="Times New Roman" w:eastAsia="宋体" w:cs="Times New Roman"/>
                <w:color w:val="auto"/>
                <w:w w:val="90"/>
                <w:sz w:val="21"/>
                <w:szCs w:val="21"/>
                <w:highlight w:val="none"/>
              </w:rPr>
              <w:t>省级</w:t>
            </w:r>
            <w:r>
              <w:rPr>
                <w:rFonts w:hint="default" w:ascii="Times New Roman" w:hAnsi="Times New Roman" w:eastAsia="宋体" w:cs="Times New Roman"/>
                <w:color w:val="auto"/>
                <w:w w:val="90"/>
                <w:sz w:val="21"/>
                <w:szCs w:val="21"/>
                <w:highlight w:val="none"/>
                <w:lang w:eastAsia="zh-CN"/>
              </w:rPr>
              <w:t>宜居宜业和美乡村</w:t>
            </w:r>
            <w:r>
              <w:rPr>
                <w:rFonts w:hint="default" w:ascii="Times New Roman" w:hAnsi="Times New Roman" w:eastAsia="宋体" w:cs="Times New Roman"/>
                <w:color w:val="auto"/>
                <w:w w:val="90"/>
                <w:sz w:val="21"/>
                <w:szCs w:val="21"/>
                <w:highlight w:val="none"/>
              </w:rPr>
              <w:t>数量</w:t>
            </w:r>
          </w:p>
        </w:tc>
        <w:tc>
          <w:tcPr>
            <w:tcW w:w="700" w:type="dxa"/>
            <w:shd w:val="clear" w:color="auto" w:fill="F1F1F1" w:themeFill="background1" w:themeFillShade="F2"/>
            <w:vAlign w:val="center"/>
          </w:tcPr>
          <w:p w14:paraId="7E286E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个</w:t>
            </w:r>
          </w:p>
        </w:tc>
        <w:tc>
          <w:tcPr>
            <w:tcW w:w="1047" w:type="dxa"/>
            <w:shd w:val="clear" w:color="auto" w:fill="F1F1F1" w:themeFill="background1" w:themeFillShade="F2"/>
            <w:vAlign w:val="center"/>
          </w:tcPr>
          <w:p w14:paraId="128E39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1047" w:type="dxa"/>
            <w:shd w:val="clear" w:color="auto" w:fill="F1F1F1" w:themeFill="background1" w:themeFillShade="F2"/>
            <w:vAlign w:val="center"/>
          </w:tcPr>
          <w:p w14:paraId="43CEC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c>
          <w:tcPr>
            <w:tcW w:w="937" w:type="dxa"/>
            <w:shd w:val="clear" w:color="auto" w:fill="F1F1F1" w:themeFill="background1" w:themeFillShade="F2"/>
            <w:vAlign w:val="center"/>
          </w:tcPr>
          <w:p w14:paraId="4E27E0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预期性</w:t>
            </w:r>
          </w:p>
        </w:tc>
      </w:tr>
      <w:tr w14:paraId="1E38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auto"/>
            <w:vAlign w:val="center"/>
          </w:tcPr>
          <w:p w14:paraId="7CA866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19</w:t>
            </w:r>
          </w:p>
        </w:tc>
        <w:tc>
          <w:tcPr>
            <w:tcW w:w="693" w:type="dxa"/>
            <w:vMerge w:val="continue"/>
            <w:shd w:val="clear" w:color="auto" w:fill="auto"/>
            <w:vAlign w:val="center"/>
          </w:tcPr>
          <w:p w14:paraId="584D9C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585AE0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auto"/>
            <w:vAlign w:val="center"/>
          </w:tcPr>
          <w:p w14:paraId="693EA2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highlight w:val="none"/>
              </w:rPr>
            </w:pPr>
            <w:r>
              <w:rPr>
                <w:rFonts w:hint="default" w:ascii="Times New Roman" w:hAnsi="Times New Roman" w:eastAsia="宋体" w:cs="Times New Roman"/>
                <w:color w:val="auto"/>
                <w:w w:val="90"/>
                <w:sz w:val="21"/>
                <w:szCs w:val="21"/>
                <w:highlight w:val="none"/>
                <w:lang w:eastAsia="zh-CN"/>
              </w:rPr>
              <w:t>省级及以上文明村占比</w:t>
            </w:r>
          </w:p>
        </w:tc>
        <w:tc>
          <w:tcPr>
            <w:tcW w:w="700" w:type="dxa"/>
            <w:shd w:val="clear" w:color="auto" w:fill="auto"/>
            <w:vAlign w:val="center"/>
          </w:tcPr>
          <w:p w14:paraId="4DB63A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1047" w:type="dxa"/>
            <w:shd w:val="clear" w:color="auto" w:fill="auto"/>
            <w:vAlign w:val="center"/>
          </w:tcPr>
          <w:p w14:paraId="52A74A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8.00</w:t>
            </w:r>
          </w:p>
        </w:tc>
        <w:tc>
          <w:tcPr>
            <w:tcW w:w="1047" w:type="dxa"/>
            <w:shd w:val="clear" w:color="auto" w:fill="auto"/>
            <w:vAlign w:val="center"/>
          </w:tcPr>
          <w:p w14:paraId="77CB95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9.00</w:t>
            </w:r>
          </w:p>
        </w:tc>
        <w:tc>
          <w:tcPr>
            <w:tcW w:w="937" w:type="dxa"/>
            <w:shd w:val="clear" w:color="auto" w:fill="auto"/>
            <w:vAlign w:val="center"/>
          </w:tcPr>
          <w:p w14:paraId="7629E6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预期性</w:t>
            </w:r>
          </w:p>
        </w:tc>
      </w:tr>
      <w:tr w14:paraId="09D1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F1F1F1" w:themeFill="background1" w:themeFillShade="F2"/>
            <w:vAlign w:val="center"/>
          </w:tcPr>
          <w:p w14:paraId="5CD5DB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0</w:t>
            </w:r>
          </w:p>
        </w:tc>
        <w:tc>
          <w:tcPr>
            <w:tcW w:w="693" w:type="dxa"/>
            <w:vMerge w:val="continue"/>
            <w:shd w:val="clear" w:color="auto" w:fill="auto"/>
            <w:vAlign w:val="center"/>
          </w:tcPr>
          <w:p w14:paraId="695B7C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07BD87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F1F1F1" w:themeFill="background1" w:themeFillShade="F2"/>
            <w:vAlign w:val="center"/>
          </w:tcPr>
          <w:p w14:paraId="16EF19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rPr>
            </w:pPr>
            <w:r>
              <w:rPr>
                <w:rFonts w:hint="default" w:ascii="Times New Roman" w:hAnsi="Times New Roman" w:eastAsia="宋体" w:cs="Times New Roman"/>
                <w:color w:val="auto"/>
                <w:w w:val="90"/>
                <w:sz w:val="21"/>
                <w:szCs w:val="21"/>
              </w:rPr>
              <w:t>生态河道建成率</w:t>
            </w:r>
          </w:p>
        </w:tc>
        <w:tc>
          <w:tcPr>
            <w:tcW w:w="700" w:type="dxa"/>
            <w:shd w:val="clear" w:color="auto" w:fill="F1F1F1" w:themeFill="background1" w:themeFillShade="F2"/>
            <w:vAlign w:val="center"/>
          </w:tcPr>
          <w:p w14:paraId="59A6AA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047" w:type="dxa"/>
            <w:shd w:val="clear" w:color="auto" w:fill="F1F1F1" w:themeFill="background1" w:themeFillShade="F2"/>
            <w:vAlign w:val="center"/>
          </w:tcPr>
          <w:p w14:paraId="036061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72</w:t>
            </w:r>
          </w:p>
        </w:tc>
        <w:tc>
          <w:tcPr>
            <w:tcW w:w="1047" w:type="dxa"/>
            <w:shd w:val="clear" w:color="auto" w:fill="F1F1F1" w:themeFill="background1" w:themeFillShade="F2"/>
            <w:vAlign w:val="center"/>
          </w:tcPr>
          <w:p w14:paraId="5B7B90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85.00</w:t>
            </w:r>
          </w:p>
        </w:tc>
        <w:tc>
          <w:tcPr>
            <w:tcW w:w="937" w:type="dxa"/>
            <w:shd w:val="clear" w:color="auto" w:fill="F1F1F1" w:themeFill="background1" w:themeFillShade="F2"/>
            <w:vAlign w:val="center"/>
          </w:tcPr>
          <w:p w14:paraId="028BD4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预期性</w:t>
            </w:r>
          </w:p>
        </w:tc>
      </w:tr>
      <w:tr w14:paraId="03C7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auto"/>
            <w:vAlign w:val="center"/>
          </w:tcPr>
          <w:p w14:paraId="4546C1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1</w:t>
            </w:r>
          </w:p>
        </w:tc>
        <w:tc>
          <w:tcPr>
            <w:tcW w:w="693" w:type="dxa"/>
            <w:vMerge w:val="continue"/>
            <w:shd w:val="clear" w:color="auto" w:fill="auto"/>
            <w:vAlign w:val="center"/>
          </w:tcPr>
          <w:p w14:paraId="4EFA57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372E2E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auto"/>
            <w:vAlign w:val="center"/>
          </w:tcPr>
          <w:p w14:paraId="7EE23C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rPr>
            </w:pPr>
            <w:r>
              <w:rPr>
                <w:rFonts w:hint="default" w:ascii="Times New Roman" w:hAnsi="Times New Roman" w:eastAsia="宋体" w:cs="Times New Roman"/>
                <w:color w:val="auto"/>
                <w:w w:val="90"/>
                <w:sz w:val="21"/>
                <w:szCs w:val="21"/>
              </w:rPr>
              <w:t>农村生活污水治理管控率</w:t>
            </w:r>
          </w:p>
        </w:tc>
        <w:tc>
          <w:tcPr>
            <w:tcW w:w="700" w:type="dxa"/>
            <w:shd w:val="clear" w:color="auto" w:fill="auto"/>
            <w:vAlign w:val="center"/>
          </w:tcPr>
          <w:p w14:paraId="424C08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047" w:type="dxa"/>
            <w:shd w:val="clear" w:color="auto" w:fill="auto"/>
            <w:vAlign w:val="center"/>
          </w:tcPr>
          <w:p w14:paraId="52A2FD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83.6</w:t>
            </w:r>
          </w:p>
        </w:tc>
        <w:tc>
          <w:tcPr>
            <w:tcW w:w="1047" w:type="dxa"/>
            <w:shd w:val="clear" w:color="auto" w:fill="auto"/>
            <w:vAlign w:val="center"/>
          </w:tcPr>
          <w:p w14:paraId="32C039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rPr>
              <w:t>85</w:t>
            </w:r>
            <w:r>
              <w:rPr>
                <w:rFonts w:hint="default" w:ascii="Times New Roman" w:hAnsi="Times New Roman" w:eastAsia="宋体" w:cs="Times New Roman"/>
                <w:color w:val="auto"/>
                <w:sz w:val="21"/>
                <w:szCs w:val="21"/>
              </w:rPr>
              <w:t>.00</w:t>
            </w:r>
          </w:p>
        </w:tc>
        <w:tc>
          <w:tcPr>
            <w:tcW w:w="937" w:type="dxa"/>
            <w:shd w:val="clear" w:color="auto" w:fill="auto"/>
            <w:vAlign w:val="center"/>
          </w:tcPr>
          <w:p w14:paraId="116D5B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约束性</w:t>
            </w:r>
          </w:p>
        </w:tc>
      </w:tr>
      <w:tr w14:paraId="37AE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F1F1F1" w:themeFill="background1" w:themeFillShade="F2"/>
            <w:vAlign w:val="center"/>
          </w:tcPr>
          <w:p w14:paraId="46616F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2</w:t>
            </w:r>
          </w:p>
        </w:tc>
        <w:tc>
          <w:tcPr>
            <w:tcW w:w="693" w:type="dxa"/>
            <w:vMerge w:val="continue"/>
            <w:shd w:val="clear" w:color="auto" w:fill="auto"/>
            <w:vAlign w:val="center"/>
          </w:tcPr>
          <w:p w14:paraId="366649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5FD0C6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F1F1F1" w:themeFill="background1" w:themeFillShade="F2"/>
            <w:vAlign w:val="center"/>
          </w:tcPr>
          <w:p w14:paraId="049BF8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rPr>
            </w:pPr>
            <w:r>
              <w:rPr>
                <w:rFonts w:hint="default" w:ascii="Times New Roman" w:hAnsi="Times New Roman" w:eastAsia="宋体" w:cs="Times New Roman"/>
                <w:color w:val="auto"/>
                <w:w w:val="90"/>
                <w:sz w:val="21"/>
                <w:szCs w:val="21"/>
              </w:rPr>
              <w:t>生活垃圾分类镇街覆盖率</w:t>
            </w:r>
          </w:p>
        </w:tc>
        <w:tc>
          <w:tcPr>
            <w:tcW w:w="700" w:type="dxa"/>
            <w:shd w:val="clear" w:color="auto" w:fill="F1F1F1" w:themeFill="background1" w:themeFillShade="F2"/>
            <w:vAlign w:val="center"/>
          </w:tcPr>
          <w:p w14:paraId="453806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047" w:type="dxa"/>
            <w:shd w:val="clear" w:color="auto" w:fill="F1F1F1" w:themeFill="background1" w:themeFillShade="F2"/>
            <w:vAlign w:val="center"/>
          </w:tcPr>
          <w:p w14:paraId="7DE46B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100</w:t>
            </w:r>
          </w:p>
        </w:tc>
        <w:tc>
          <w:tcPr>
            <w:tcW w:w="1047" w:type="dxa"/>
            <w:shd w:val="clear" w:color="auto" w:fill="F1F1F1" w:themeFill="background1" w:themeFillShade="F2"/>
            <w:vAlign w:val="center"/>
          </w:tcPr>
          <w:p w14:paraId="5B7351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937" w:type="dxa"/>
            <w:shd w:val="clear" w:color="auto" w:fill="F1F1F1" w:themeFill="background1" w:themeFillShade="F2"/>
            <w:vAlign w:val="center"/>
          </w:tcPr>
          <w:p w14:paraId="2DCF5B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预期性</w:t>
            </w:r>
          </w:p>
        </w:tc>
      </w:tr>
      <w:tr w14:paraId="694A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auto"/>
            <w:vAlign w:val="center"/>
          </w:tcPr>
          <w:p w14:paraId="3C4385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3</w:t>
            </w:r>
          </w:p>
        </w:tc>
        <w:tc>
          <w:tcPr>
            <w:tcW w:w="693" w:type="dxa"/>
            <w:vMerge w:val="restart"/>
            <w:shd w:val="clear" w:color="auto" w:fill="auto"/>
            <w:vAlign w:val="center"/>
          </w:tcPr>
          <w:p w14:paraId="05B4CF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农</w:t>
            </w:r>
          </w:p>
          <w:p w14:paraId="248488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民</w:t>
            </w:r>
          </w:p>
          <w:p w14:paraId="377661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富</w:t>
            </w:r>
          </w:p>
        </w:tc>
        <w:tc>
          <w:tcPr>
            <w:tcW w:w="755" w:type="dxa"/>
            <w:vMerge w:val="restart"/>
            <w:shd w:val="clear" w:color="auto" w:fill="auto"/>
            <w:vAlign w:val="center"/>
          </w:tcPr>
          <w:p w14:paraId="72D863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农民</w:t>
            </w:r>
          </w:p>
          <w:p w14:paraId="1BB1BE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富裕</w:t>
            </w:r>
          </w:p>
        </w:tc>
        <w:tc>
          <w:tcPr>
            <w:tcW w:w="2987" w:type="dxa"/>
            <w:shd w:val="clear" w:color="auto" w:fill="auto"/>
            <w:vAlign w:val="center"/>
          </w:tcPr>
          <w:p w14:paraId="70D39C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rPr>
            </w:pPr>
            <w:r>
              <w:rPr>
                <w:rFonts w:hint="default" w:ascii="Times New Roman" w:hAnsi="Times New Roman" w:eastAsia="宋体" w:cs="Times New Roman"/>
                <w:color w:val="auto"/>
                <w:w w:val="80"/>
                <w:sz w:val="21"/>
                <w:szCs w:val="21"/>
              </w:rPr>
              <w:t>村（涉农社区）</w:t>
            </w:r>
            <w:r>
              <w:rPr>
                <w:rFonts w:hint="default" w:ascii="Times New Roman" w:hAnsi="Times New Roman" w:eastAsia="宋体" w:cs="Times New Roman"/>
                <w:color w:val="auto"/>
                <w:w w:val="80"/>
                <w:sz w:val="21"/>
                <w:szCs w:val="21"/>
                <w:lang w:eastAsia="zh-CN"/>
              </w:rPr>
              <w:t>均</w:t>
            </w:r>
            <w:r>
              <w:rPr>
                <w:rFonts w:hint="default" w:ascii="Times New Roman" w:hAnsi="Times New Roman" w:eastAsia="宋体" w:cs="Times New Roman"/>
                <w:color w:val="auto"/>
                <w:w w:val="80"/>
                <w:sz w:val="21"/>
                <w:szCs w:val="21"/>
              </w:rPr>
              <w:t>集体经营收入</w:t>
            </w:r>
          </w:p>
        </w:tc>
        <w:tc>
          <w:tcPr>
            <w:tcW w:w="700" w:type="dxa"/>
            <w:shd w:val="clear" w:color="auto" w:fill="auto"/>
            <w:vAlign w:val="center"/>
          </w:tcPr>
          <w:p w14:paraId="14710A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个</w:t>
            </w:r>
          </w:p>
        </w:tc>
        <w:tc>
          <w:tcPr>
            <w:tcW w:w="1047" w:type="dxa"/>
            <w:shd w:val="clear" w:color="auto" w:fill="auto"/>
            <w:vAlign w:val="center"/>
          </w:tcPr>
          <w:p w14:paraId="57C099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w w:val="66"/>
                <w:sz w:val="21"/>
                <w:szCs w:val="21"/>
                <w:lang w:val="en-US" w:eastAsia="zh-CN"/>
              </w:rPr>
            </w:pPr>
            <w:r>
              <w:rPr>
                <w:rFonts w:hint="default" w:ascii="Times New Roman" w:hAnsi="Times New Roman" w:eastAsia="宋体" w:cs="Times New Roman"/>
                <w:color w:val="auto"/>
                <w:sz w:val="21"/>
                <w:szCs w:val="21"/>
                <w:lang w:val="en-US" w:eastAsia="zh-CN"/>
              </w:rPr>
              <w:t>77.19</w:t>
            </w:r>
          </w:p>
        </w:tc>
        <w:tc>
          <w:tcPr>
            <w:tcW w:w="1047" w:type="dxa"/>
            <w:shd w:val="clear" w:color="auto" w:fill="auto"/>
            <w:vAlign w:val="center"/>
          </w:tcPr>
          <w:p w14:paraId="14DAF4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w w:val="66"/>
                <w:sz w:val="21"/>
                <w:szCs w:val="21"/>
              </w:rPr>
              <w:t>稳步增长</w:t>
            </w:r>
          </w:p>
        </w:tc>
        <w:tc>
          <w:tcPr>
            <w:tcW w:w="937" w:type="dxa"/>
            <w:shd w:val="clear" w:color="auto" w:fill="auto"/>
            <w:vAlign w:val="center"/>
          </w:tcPr>
          <w:p w14:paraId="37440B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预期性</w:t>
            </w:r>
          </w:p>
        </w:tc>
      </w:tr>
      <w:tr w14:paraId="0327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F1F1F1" w:themeFill="background1" w:themeFillShade="F2"/>
            <w:vAlign w:val="center"/>
          </w:tcPr>
          <w:p w14:paraId="3A9122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4</w:t>
            </w:r>
          </w:p>
        </w:tc>
        <w:tc>
          <w:tcPr>
            <w:tcW w:w="693" w:type="dxa"/>
            <w:vMerge w:val="continue"/>
            <w:shd w:val="clear" w:color="auto" w:fill="auto"/>
            <w:vAlign w:val="center"/>
          </w:tcPr>
          <w:p w14:paraId="6C20AD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09D056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F1F1F1" w:themeFill="background1" w:themeFillShade="F2"/>
            <w:vAlign w:val="center"/>
          </w:tcPr>
          <w:p w14:paraId="621D8C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rPr>
            </w:pPr>
            <w:r>
              <w:rPr>
                <w:rFonts w:hint="default" w:ascii="Times New Roman" w:hAnsi="Times New Roman" w:eastAsia="宋体" w:cs="Times New Roman"/>
                <w:color w:val="auto"/>
                <w:w w:val="90"/>
                <w:sz w:val="21"/>
                <w:szCs w:val="21"/>
              </w:rPr>
              <w:t>农村居民人均可支配收入</w:t>
            </w:r>
          </w:p>
        </w:tc>
        <w:tc>
          <w:tcPr>
            <w:tcW w:w="700" w:type="dxa"/>
            <w:shd w:val="clear" w:color="auto" w:fill="F1F1F1" w:themeFill="background1" w:themeFillShade="F2"/>
            <w:vAlign w:val="center"/>
          </w:tcPr>
          <w:p w14:paraId="79F062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元</w:t>
            </w:r>
          </w:p>
        </w:tc>
        <w:tc>
          <w:tcPr>
            <w:tcW w:w="1047" w:type="dxa"/>
            <w:shd w:val="clear" w:color="auto" w:fill="F1F1F1" w:themeFill="background1" w:themeFillShade="F2"/>
            <w:vAlign w:val="center"/>
          </w:tcPr>
          <w:p w14:paraId="14CC63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w w:val="66"/>
                <w:sz w:val="21"/>
                <w:szCs w:val="21"/>
                <w:lang w:val="en-US" w:eastAsia="zh-CN"/>
              </w:rPr>
            </w:pPr>
            <w:r>
              <w:rPr>
                <w:rFonts w:hint="default" w:ascii="Times New Roman" w:hAnsi="Times New Roman" w:eastAsia="宋体" w:cs="Times New Roman"/>
                <w:color w:val="auto"/>
                <w:sz w:val="21"/>
                <w:szCs w:val="21"/>
                <w:lang w:val="en-US" w:eastAsia="zh-CN"/>
              </w:rPr>
              <w:t>40915</w:t>
            </w:r>
          </w:p>
        </w:tc>
        <w:tc>
          <w:tcPr>
            <w:tcW w:w="1047" w:type="dxa"/>
            <w:shd w:val="clear" w:color="auto" w:fill="F1F1F1" w:themeFill="background1" w:themeFillShade="F2"/>
            <w:vAlign w:val="center"/>
          </w:tcPr>
          <w:p w14:paraId="347739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w w:val="66"/>
                <w:sz w:val="21"/>
                <w:szCs w:val="21"/>
              </w:rPr>
              <w:t>与经济同步增长</w:t>
            </w:r>
          </w:p>
        </w:tc>
        <w:tc>
          <w:tcPr>
            <w:tcW w:w="937" w:type="dxa"/>
            <w:shd w:val="clear" w:color="auto" w:fill="F1F1F1" w:themeFill="background1" w:themeFillShade="F2"/>
            <w:vAlign w:val="center"/>
          </w:tcPr>
          <w:p w14:paraId="5F40BB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约束性</w:t>
            </w:r>
          </w:p>
        </w:tc>
      </w:tr>
      <w:tr w14:paraId="3FCE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auto"/>
            <w:vAlign w:val="center"/>
          </w:tcPr>
          <w:p w14:paraId="08C8F4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5</w:t>
            </w:r>
          </w:p>
        </w:tc>
        <w:tc>
          <w:tcPr>
            <w:tcW w:w="693" w:type="dxa"/>
            <w:vMerge w:val="continue"/>
            <w:shd w:val="clear" w:color="auto" w:fill="auto"/>
            <w:vAlign w:val="center"/>
          </w:tcPr>
          <w:p w14:paraId="732B3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06A79B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2987" w:type="dxa"/>
            <w:shd w:val="clear" w:color="auto" w:fill="auto"/>
            <w:vAlign w:val="center"/>
          </w:tcPr>
          <w:p w14:paraId="126311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highlight w:val="none"/>
              </w:rPr>
            </w:pPr>
            <w:r>
              <w:rPr>
                <w:rFonts w:hint="default" w:ascii="Times New Roman" w:hAnsi="Times New Roman" w:eastAsia="宋体" w:cs="Times New Roman"/>
                <w:color w:val="auto"/>
                <w:w w:val="90"/>
                <w:sz w:val="21"/>
                <w:szCs w:val="21"/>
                <w:highlight w:val="none"/>
              </w:rPr>
              <w:t>农村居民家庭恩格尔系数</w:t>
            </w:r>
          </w:p>
        </w:tc>
        <w:tc>
          <w:tcPr>
            <w:tcW w:w="700" w:type="dxa"/>
            <w:shd w:val="clear" w:color="auto" w:fill="auto"/>
            <w:vAlign w:val="center"/>
          </w:tcPr>
          <w:p w14:paraId="0E5C69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047" w:type="dxa"/>
            <w:shd w:val="clear" w:color="auto" w:fill="auto"/>
            <w:vAlign w:val="center"/>
          </w:tcPr>
          <w:p w14:paraId="41BBA3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28.1</w:t>
            </w:r>
          </w:p>
        </w:tc>
        <w:tc>
          <w:tcPr>
            <w:tcW w:w="1047" w:type="dxa"/>
            <w:shd w:val="clear" w:color="auto" w:fill="auto"/>
            <w:vAlign w:val="center"/>
          </w:tcPr>
          <w:p w14:paraId="4A8450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28.00</w:t>
            </w:r>
          </w:p>
        </w:tc>
        <w:tc>
          <w:tcPr>
            <w:tcW w:w="937" w:type="dxa"/>
            <w:shd w:val="clear" w:color="auto" w:fill="auto"/>
            <w:vAlign w:val="center"/>
          </w:tcPr>
          <w:p w14:paraId="4B0565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预期性</w:t>
            </w:r>
          </w:p>
        </w:tc>
      </w:tr>
      <w:tr w14:paraId="7A8E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F1F1F1" w:themeFill="background1" w:themeFillShade="F2"/>
            <w:vAlign w:val="center"/>
          </w:tcPr>
          <w:p w14:paraId="612782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6</w:t>
            </w:r>
          </w:p>
        </w:tc>
        <w:tc>
          <w:tcPr>
            <w:tcW w:w="693" w:type="dxa"/>
            <w:vMerge w:val="restart"/>
            <w:shd w:val="clear" w:color="auto" w:fill="auto"/>
            <w:vAlign w:val="center"/>
          </w:tcPr>
          <w:p w14:paraId="3E0DC8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城乡基本融合</w:t>
            </w:r>
          </w:p>
        </w:tc>
        <w:tc>
          <w:tcPr>
            <w:tcW w:w="755" w:type="dxa"/>
            <w:vMerge w:val="restart"/>
            <w:shd w:val="clear" w:color="auto" w:fill="auto"/>
            <w:vAlign w:val="center"/>
          </w:tcPr>
          <w:p w14:paraId="2FD8D3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城乡</w:t>
            </w:r>
          </w:p>
          <w:p w14:paraId="5CEF76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融合</w:t>
            </w:r>
            <w:r>
              <w:rPr>
                <w:rFonts w:hint="default" w:ascii="Times New Roman" w:hAnsi="Times New Roman" w:eastAsia="宋体" w:cs="Times New Roman"/>
                <w:color w:val="auto"/>
                <w:sz w:val="21"/>
                <w:szCs w:val="21"/>
                <w:lang w:val="en-US" w:eastAsia="zh-CN"/>
              </w:rPr>
              <w:t>体制机制</w:t>
            </w:r>
          </w:p>
        </w:tc>
        <w:tc>
          <w:tcPr>
            <w:tcW w:w="2987" w:type="dxa"/>
            <w:shd w:val="clear" w:color="auto" w:fill="F1F1F1" w:themeFill="background1" w:themeFillShade="F2"/>
            <w:vAlign w:val="center"/>
          </w:tcPr>
          <w:p w14:paraId="5359C8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rPr>
            </w:pPr>
            <w:r>
              <w:rPr>
                <w:rFonts w:hint="default" w:ascii="Times New Roman" w:hAnsi="Times New Roman" w:eastAsia="宋体" w:cs="Times New Roman"/>
                <w:color w:val="auto"/>
                <w:w w:val="90"/>
                <w:sz w:val="21"/>
                <w:szCs w:val="21"/>
              </w:rPr>
              <w:t>城乡居民收入倍差</w:t>
            </w:r>
          </w:p>
        </w:tc>
        <w:tc>
          <w:tcPr>
            <w:tcW w:w="700" w:type="dxa"/>
            <w:shd w:val="clear" w:color="auto" w:fill="F1F1F1" w:themeFill="background1" w:themeFillShade="F2"/>
            <w:vAlign w:val="center"/>
          </w:tcPr>
          <w:p w14:paraId="21B035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047" w:type="dxa"/>
            <w:shd w:val="clear" w:color="auto" w:fill="F1F1F1" w:themeFill="background1" w:themeFillShade="F2"/>
            <w:vAlign w:val="center"/>
          </w:tcPr>
          <w:p w14:paraId="71DE0B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1.72</w:t>
            </w:r>
          </w:p>
        </w:tc>
        <w:tc>
          <w:tcPr>
            <w:tcW w:w="1047" w:type="dxa"/>
            <w:shd w:val="clear" w:color="auto" w:fill="F1F1F1" w:themeFill="background1" w:themeFillShade="F2"/>
            <w:vAlign w:val="center"/>
          </w:tcPr>
          <w:p w14:paraId="082742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1.58</w:t>
            </w:r>
          </w:p>
        </w:tc>
        <w:tc>
          <w:tcPr>
            <w:tcW w:w="937" w:type="dxa"/>
            <w:shd w:val="clear" w:color="auto" w:fill="F1F1F1" w:themeFill="background1" w:themeFillShade="F2"/>
            <w:vAlign w:val="center"/>
          </w:tcPr>
          <w:p w14:paraId="48D702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预期性</w:t>
            </w:r>
          </w:p>
        </w:tc>
      </w:tr>
      <w:tr w14:paraId="67C2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5" w:hRule="exact"/>
          <w:jc w:val="center"/>
        </w:trPr>
        <w:tc>
          <w:tcPr>
            <w:tcW w:w="569" w:type="dxa"/>
            <w:shd w:val="clear" w:color="auto" w:fill="auto"/>
            <w:vAlign w:val="center"/>
          </w:tcPr>
          <w:p w14:paraId="1BB1F1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7</w:t>
            </w:r>
          </w:p>
        </w:tc>
        <w:tc>
          <w:tcPr>
            <w:tcW w:w="693" w:type="dxa"/>
            <w:vMerge w:val="continue"/>
            <w:shd w:val="clear" w:color="auto" w:fill="auto"/>
            <w:vAlign w:val="center"/>
          </w:tcPr>
          <w:p w14:paraId="36E374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1264C5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auto"/>
              <w:rPr>
                <w:rFonts w:hint="default" w:ascii="Times New Roman" w:hAnsi="Times New Roman" w:eastAsia="宋体" w:cs="Times New Roman"/>
                <w:color w:val="auto"/>
                <w:sz w:val="21"/>
                <w:szCs w:val="21"/>
              </w:rPr>
            </w:pPr>
          </w:p>
        </w:tc>
        <w:tc>
          <w:tcPr>
            <w:tcW w:w="2987" w:type="dxa"/>
            <w:shd w:val="clear" w:color="auto" w:fill="auto"/>
            <w:vAlign w:val="center"/>
          </w:tcPr>
          <w:p w14:paraId="522F7B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default" w:ascii="Times New Roman" w:hAnsi="Times New Roman" w:eastAsia="宋体" w:cs="Times New Roman"/>
                <w:color w:val="auto"/>
                <w:w w:val="90"/>
                <w:sz w:val="21"/>
                <w:szCs w:val="21"/>
                <w:lang w:val="en-US" w:eastAsia="zh-CN"/>
              </w:rPr>
            </w:pPr>
            <w:r>
              <w:rPr>
                <w:rFonts w:hint="default" w:ascii="Times New Roman" w:hAnsi="Times New Roman" w:eastAsia="宋体" w:cs="Times New Roman"/>
                <w:color w:val="auto"/>
                <w:w w:val="90"/>
                <w:sz w:val="21"/>
                <w:szCs w:val="21"/>
                <w:lang w:val="en-US" w:eastAsia="zh-CN"/>
              </w:rPr>
              <w:t>县域医共体人员下沉派驻覆盖率</w:t>
            </w:r>
          </w:p>
        </w:tc>
        <w:tc>
          <w:tcPr>
            <w:tcW w:w="700" w:type="dxa"/>
            <w:shd w:val="clear" w:color="auto" w:fill="auto"/>
            <w:vAlign w:val="center"/>
          </w:tcPr>
          <w:p w14:paraId="590974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047" w:type="dxa"/>
            <w:shd w:val="clear" w:color="auto" w:fill="auto"/>
            <w:vAlign w:val="center"/>
          </w:tcPr>
          <w:p w14:paraId="158C17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100</w:t>
            </w:r>
          </w:p>
        </w:tc>
        <w:tc>
          <w:tcPr>
            <w:tcW w:w="1047" w:type="dxa"/>
            <w:shd w:val="clear" w:color="auto" w:fill="auto"/>
            <w:vAlign w:val="center"/>
          </w:tcPr>
          <w:p w14:paraId="6D2ABA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100</w:t>
            </w:r>
          </w:p>
        </w:tc>
        <w:tc>
          <w:tcPr>
            <w:tcW w:w="937" w:type="dxa"/>
            <w:shd w:val="clear" w:color="auto" w:fill="auto"/>
            <w:vAlign w:val="center"/>
          </w:tcPr>
          <w:p w14:paraId="0F94DB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预期性</w:t>
            </w:r>
          </w:p>
        </w:tc>
      </w:tr>
      <w:tr w14:paraId="1B22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2" w:hRule="exact"/>
          <w:jc w:val="center"/>
        </w:trPr>
        <w:tc>
          <w:tcPr>
            <w:tcW w:w="569" w:type="dxa"/>
            <w:shd w:val="clear" w:color="auto" w:fill="F1F1F1" w:themeFill="background1" w:themeFillShade="F2"/>
            <w:vAlign w:val="center"/>
          </w:tcPr>
          <w:p w14:paraId="06B15B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bookmarkStart w:id="25" w:name="_Toc2084693514"/>
            <w:r>
              <w:rPr>
                <w:rFonts w:hint="default" w:ascii="Times New Roman" w:hAnsi="Times New Roman" w:eastAsia="宋体" w:cs="Times New Roman"/>
                <w:color w:val="auto"/>
                <w:sz w:val="21"/>
                <w:szCs w:val="21"/>
                <w:lang w:val="en-US" w:eastAsia="zh-CN" w:bidi="ar-SA"/>
              </w:rPr>
              <w:t>2</w:t>
            </w:r>
            <w:r>
              <w:rPr>
                <w:rFonts w:hint="eastAsia" w:ascii="Times New Roman" w:hAnsi="Times New Roman" w:eastAsia="宋体" w:cs="Times New Roman"/>
                <w:color w:val="auto"/>
                <w:sz w:val="21"/>
                <w:szCs w:val="21"/>
                <w:lang w:val="en-US" w:eastAsia="zh-CN" w:bidi="ar-SA"/>
              </w:rPr>
              <w:t>8</w:t>
            </w:r>
          </w:p>
        </w:tc>
        <w:tc>
          <w:tcPr>
            <w:tcW w:w="693" w:type="dxa"/>
            <w:vMerge w:val="restart"/>
            <w:shd w:val="clear" w:color="auto" w:fill="auto"/>
            <w:vAlign w:val="center"/>
          </w:tcPr>
          <w:p w14:paraId="025FA4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保障</w:t>
            </w:r>
          </w:p>
          <w:p w14:paraId="38F99D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水平</w:t>
            </w:r>
          </w:p>
        </w:tc>
        <w:tc>
          <w:tcPr>
            <w:tcW w:w="755" w:type="dxa"/>
            <w:vMerge w:val="restart"/>
            <w:shd w:val="clear" w:color="auto" w:fill="auto"/>
            <w:vAlign w:val="center"/>
          </w:tcPr>
          <w:p w14:paraId="07C1C6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w w:val="90"/>
                <w:sz w:val="21"/>
                <w:szCs w:val="21"/>
                <w:lang w:val="en-US" w:eastAsia="zh-CN"/>
              </w:rPr>
            </w:pPr>
            <w:r>
              <w:rPr>
                <w:rFonts w:hint="default" w:ascii="Times New Roman" w:hAnsi="Times New Roman" w:eastAsia="宋体" w:cs="Times New Roman"/>
                <w:color w:val="auto"/>
                <w:w w:val="90"/>
                <w:sz w:val="21"/>
                <w:szCs w:val="21"/>
                <w:lang w:val="en-US" w:eastAsia="zh-CN"/>
              </w:rPr>
              <w:t>要素投入</w:t>
            </w:r>
          </w:p>
        </w:tc>
        <w:tc>
          <w:tcPr>
            <w:tcW w:w="2987" w:type="dxa"/>
            <w:shd w:val="clear" w:color="auto" w:fill="F1F1F1" w:themeFill="background1" w:themeFillShade="F2"/>
            <w:vAlign w:val="center"/>
          </w:tcPr>
          <w:p w14:paraId="139BAA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宋体" w:cs="Times New Roman"/>
                <w:color w:val="auto"/>
                <w:w w:val="90"/>
                <w:sz w:val="21"/>
                <w:szCs w:val="21"/>
                <w:lang w:val="en-US" w:eastAsia="zh-CN" w:bidi="ar-SA"/>
              </w:rPr>
            </w:pPr>
            <w:r>
              <w:rPr>
                <w:rFonts w:hint="default" w:ascii="Times New Roman" w:hAnsi="Times New Roman" w:eastAsia="宋体" w:cs="Times New Roman"/>
                <w:color w:val="auto"/>
                <w:w w:val="90"/>
                <w:sz w:val="21"/>
                <w:szCs w:val="21"/>
                <w:lang w:val="en-US" w:eastAsia="zh-CN"/>
              </w:rPr>
              <w:t>财政资金支持力度</w:t>
            </w:r>
          </w:p>
        </w:tc>
        <w:tc>
          <w:tcPr>
            <w:tcW w:w="700" w:type="dxa"/>
            <w:shd w:val="clear" w:color="auto" w:fill="F1F1F1" w:themeFill="background1" w:themeFillShade="F2"/>
            <w:vAlign w:val="center"/>
          </w:tcPr>
          <w:p w14:paraId="6B4AEF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3031" w:type="dxa"/>
            <w:gridSpan w:val="3"/>
            <w:shd w:val="clear" w:color="auto" w:fill="F1F1F1" w:themeFill="background1" w:themeFillShade="F2"/>
            <w:vAlign w:val="center"/>
          </w:tcPr>
          <w:p w14:paraId="1E21ED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预期性</w:t>
            </w:r>
          </w:p>
        </w:tc>
      </w:tr>
      <w:tr w14:paraId="5254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2" w:hRule="exact"/>
          <w:jc w:val="center"/>
        </w:trPr>
        <w:tc>
          <w:tcPr>
            <w:tcW w:w="569" w:type="dxa"/>
            <w:shd w:val="clear" w:color="auto" w:fill="auto"/>
            <w:vAlign w:val="center"/>
          </w:tcPr>
          <w:p w14:paraId="3FE3CF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29</w:t>
            </w:r>
          </w:p>
        </w:tc>
        <w:tc>
          <w:tcPr>
            <w:tcW w:w="693" w:type="dxa"/>
            <w:vMerge w:val="continue"/>
            <w:shd w:val="clear" w:color="auto" w:fill="auto"/>
            <w:vAlign w:val="center"/>
          </w:tcPr>
          <w:p w14:paraId="7C357F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sz w:val="21"/>
                <w:szCs w:val="21"/>
              </w:rPr>
            </w:pPr>
          </w:p>
        </w:tc>
        <w:tc>
          <w:tcPr>
            <w:tcW w:w="755" w:type="dxa"/>
            <w:vMerge w:val="continue"/>
            <w:shd w:val="clear" w:color="auto" w:fill="auto"/>
            <w:vAlign w:val="center"/>
          </w:tcPr>
          <w:p w14:paraId="1C7CAA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default" w:ascii="Times New Roman" w:hAnsi="Times New Roman" w:eastAsia="宋体" w:cs="Times New Roman"/>
                <w:color w:val="auto"/>
                <w:w w:val="90"/>
                <w:sz w:val="21"/>
                <w:szCs w:val="21"/>
                <w:lang w:val="en-US" w:eastAsia="zh-CN"/>
              </w:rPr>
            </w:pPr>
          </w:p>
        </w:tc>
        <w:tc>
          <w:tcPr>
            <w:tcW w:w="2987" w:type="dxa"/>
            <w:shd w:val="clear" w:color="auto" w:fill="auto"/>
            <w:vAlign w:val="center"/>
          </w:tcPr>
          <w:p w14:paraId="4C883D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宋体" w:cs="Times New Roman"/>
                <w:color w:val="auto"/>
                <w:w w:val="90"/>
                <w:sz w:val="21"/>
                <w:szCs w:val="21"/>
                <w:lang w:val="en-US" w:eastAsia="zh-CN" w:bidi="ar-SA"/>
              </w:rPr>
            </w:pPr>
            <w:r>
              <w:rPr>
                <w:rFonts w:hint="default" w:ascii="Times New Roman" w:hAnsi="Times New Roman" w:eastAsia="宋体" w:cs="Times New Roman"/>
                <w:color w:val="auto"/>
                <w:w w:val="80"/>
                <w:sz w:val="21"/>
                <w:szCs w:val="21"/>
                <w:lang w:val="en-US" w:eastAsia="zh-CN"/>
              </w:rPr>
              <w:t>乡村振兴土地要素保障率</w:t>
            </w:r>
          </w:p>
        </w:tc>
        <w:tc>
          <w:tcPr>
            <w:tcW w:w="700" w:type="dxa"/>
            <w:shd w:val="clear" w:color="auto" w:fill="auto"/>
            <w:vAlign w:val="center"/>
          </w:tcPr>
          <w:p w14:paraId="22D52C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047" w:type="dxa"/>
            <w:shd w:val="clear" w:color="auto" w:fill="auto"/>
            <w:vAlign w:val="center"/>
          </w:tcPr>
          <w:p w14:paraId="2B77E2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100</w:t>
            </w:r>
          </w:p>
        </w:tc>
        <w:tc>
          <w:tcPr>
            <w:tcW w:w="1047" w:type="dxa"/>
            <w:shd w:val="clear" w:color="auto" w:fill="auto"/>
            <w:vAlign w:val="center"/>
          </w:tcPr>
          <w:p w14:paraId="09F67A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100</w:t>
            </w:r>
          </w:p>
        </w:tc>
        <w:tc>
          <w:tcPr>
            <w:tcW w:w="937" w:type="dxa"/>
            <w:shd w:val="clear" w:color="auto" w:fill="auto"/>
            <w:vAlign w:val="center"/>
          </w:tcPr>
          <w:p w14:paraId="7883AF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预期性</w:t>
            </w:r>
          </w:p>
        </w:tc>
      </w:tr>
      <w:bookmarkEnd w:id="24"/>
    </w:tbl>
    <w:p w14:paraId="04DB32D5">
      <w:pPr>
        <w:pageBreakBefore w:val="0"/>
        <w:wordWrap/>
        <w:overflowPunct/>
        <w:topLinePunct w:val="0"/>
        <w:bidi w:val="0"/>
        <w:ind w:left="0" w:leftChars="0" w:firstLine="0" w:firstLineChars="0"/>
        <w:rPr>
          <w:rFonts w:hint="default" w:ascii="Times New Roman" w:hAnsi="Times New Roman" w:eastAsia="宋体" w:cs="Times New Roman"/>
          <w:color w:val="auto"/>
          <w:sz w:val="24"/>
          <w:szCs w:val="24"/>
          <w:lang w:val="en-US" w:eastAsia="zh-CN"/>
        </w:rPr>
        <w:sectPr>
          <w:footerReference r:id="rId7" w:type="default"/>
          <w:footnotePr>
            <w:numFmt w:val="decimalEnclosedCircleChinese"/>
            <w:numRestart w:val="eachPage"/>
          </w:footnotePr>
          <w:pgSz w:w="11906" w:h="16838"/>
          <w:pgMar w:top="2098" w:right="1474" w:bottom="1984" w:left="1587" w:header="510" w:footer="1474" w:gutter="0"/>
          <w:pgNumType w:fmt="decimal"/>
          <w:cols w:space="0" w:num="1"/>
          <w:rtlGutter w:val="0"/>
          <w:docGrid w:type="lines" w:linePitch="326" w:charSpace="0"/>
        </w:sectPr>
      </w:pPr>
      <w:r>
        <w:rPr>
          <w:rFonts w:hint="default" w:ascii="Times New Roman" w:hAnsi="Times New Roman" w:eastAsia="宋体" w:cs="Times New Roman"/>
          <w:color w:val="auto"/>
          <w:sz w:val="24"/>
          <w:szCs w:val="24"/>
          <w:lang w:val="en-US" w:eastAsia="zh-CN"/>
        </w:rPr>
        <w:t>*“肉类总产量”指标栏中2030年目标值比2024年有所降低的原因是生猪产能</w:t>
      </w:r>
      <w:bookmarkEnd w:id="25"/>
      <w:r>
        <w:rPr>
          <w:rFonts w:hint="default" w:ascii="Times New Roman" w:hAnsi="Times New Roman" w:eastAsia="宋体" w:cs="Times New Roman"/>
          <w:color w:val="auto"/>
          <w:sz w:val="24"/>
          <w:szCs w:val="24"/>
          <w:lang w:val="en-US" w:eastAsia="zh-CN"/>
        </w:rPr>
        <w:t>调控。</w:t>
      </w:r>
    </w:p>
    <w:p w14:paraId="58D48910">
      <w:pPr>
        <w:pStyle w:val="2"/>
        <w:keepNext/>
        <w:keepLines/>
        <w:pageBreakBefore w:val="0"/>
        <w:widowControl w:val="0"/>
        <w:kinsoku/>
        <w:wordWrap/>
        <w:overflowPunct/>
        <w:topLinePunct w:val="0"/>
        <w:autoSpaceDE/>
        <w:autoSpaceDN/>
        <w:bidi w:val="0"/>
        <w:adjustRightInd/>
        <w:snapToGrid/>
        <w:spacing w:before="0" w:beforeLines="0" w:after="0" w:afterLines="0"/>
        <w:ind w:left="0" w:leftChars="0"/>
        <w:textAlignment w:val="auto"/>
        <w:rPr>
          <w:rFonts w:hint="default" w:ascii="Times New Roman" w:hAnsi="Times New Roman" w:eastAsia="黑体" w:cs="Times New Roman"/>
          <w:color w:val="auto"/>
          <w:lang w:eastAsia="zh-CN"/>
        </w:rPr>
      </w:pPr>
      <w:bookmarkStart w:id="26" w:name="_Toc1181391873"/>
      <w:bookmarkStart w:id="27" w:name="_Toc2158"/>
      <w:bookmarkStart w:id="28" w:name="_Toc1835196341"/>
      <w:r>
        <w:rPr>
          <w:rFonts w:hint="default" w:ascii="Times New Roman" w:hAnsi="Times New Roman" w:eastAsia="黑体" w:cs="Times New Roman"/>
          <w:color w:val="auto"/>
        </w:rPr>
        <w:t xml:space="preserve">第二章 发展新质生产力 </w:t>
      </w:r>
      <w:r>
        <w:rPr>
          <w:rFonts w:hint="default" w:ascii="Times New Roman" w:hAnsi="Times New Roman" w:eastAsia="黑体" w:cs="Times New Roman"/>
          <w:color w:val="auto"/>
          <w:lang w:val="en-US" w:eastAsia="zh-CN"/>
        </w:rPr>
        <w:t>实现</w:t>
      </w:r>
      <w:r>
        <w:rPr>
          <w:rFonts w:hint="default" w:ascii="Times New Roman" w:hAnsi="Times New Roman" w:eastAsia="黑体" w:cs="Times New Roman"/>
          <w:color w:val="auto"/>
          <w:lang w:eastAsia="zh-CN"/>
        </w:rPr>
        <w:t>“</w:t>
      </w:r>
      <w:r>
        <w:rPr>
          <w:rFonts w:hint="default" w:ascii="Times New Roman" w:hAnsi="Times New Roman" w:eastAsia="黑体" w:cs="Times New Roman"/>
          <w:color w:val="auto"/>
        </w:rPr>
        <w:t>农业</w:t>
      </w:r>
      <w:r>
        <w:rPr>
          <w:rFonts w:hint="default" w:ascii="Times New Roman" w:hAnsi="Times New Roman" w:eastAsia="黑体" w:cs="Times New Roman"/>
          <w:color w:val="auto"/>
          <w:lang w:eastAsia="zh-CN"/>
        </w:rPr>
        <w:t>更</w:t>
      </w:r>
      <w:r>
        <w:rPr>
          <w:rFonts w:hint="default" w:ascii="Times New Roman" w:hAnsi="Times New Roman" w:eastAsia="黑体" w:cs="Times New Roman"/>
          <w:color w:val="auto"/>
        </w:rPr>
        <w:t>强</w:t>
      </w:r>
      <w:r>
        <w:rPr>
          <w:rFonts w:hint="default" w:ascii="Times New Roman" w:hAnsi="Times New Roman" w:eastAsia="黑体" w:cs="Times New Roman"/>
          <w:color w:val="auto"/>
          <w:lang w:eastAsia="zh-CN"/>
        </w:rPr>
        <w:t>”</w:t>
      </w:r>
      <w:bookmarkEnd w:id="26"/>
      <w:bookmarkEnd w:id="27"/>
    </w:p>
    <w:p w14:paraId="2C712F1D">
      <w:pPr>
        <w:pageBreakBefore w:val="0"/>
        <w:wordWrap/>
        <w:overflowPunct/>
        <w:topLinePunct w:val="0"/>
        <w:bidi w:val="0"/>
        <w:ind w:left="0" w:left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“十五五”期间大力发展农业</w:t>
      </w:r>
      <w:r>
        <w:rPr>
          <w:rFonts w:hint="default" w:ascii="Times New Roman" w:hAnsi="Times New Roman" w:cs="Times New Roman"/>
          <w:color w:val="auto"/>
        </w:rPr>
        <w:t>新质生产力</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推动传统</w:t>
      </w:r>
      <w:r>
        <w:rPr>
          <w:rFonts w:hint="default" w:ascii="Times New Roman" w:hAnsi="Times New Roman" w:cs="Times New Roman"/>
          <w:color w:val="auto"/>
        </w:rPr>
        <w:t>农业</w:t>
      </w:r>
      <w:r>
        <w:rPr>
          <w:rFonts w:hint="default" w:ascii="Times New Roman" w:hAnsi="Times New Roman" w:cs="Times New Roman"/>
          <w:color w:val="auto"/>
          <w:lang w:val="en-US" w:eastAsia="zh-CN"/>
        </w:rPr>
        <w:t>向现代农业跨越；深入谋划提升农业综合生产能力和质量效益，实施“农业提质增效强基”“农业基础提升改造”等工程项目，统筹发展科技农业、绿色农业、质量农业、品牌农业，打造“五强”</w:t>
      </w:r>
      <w:r>
        <w:rPr>
          <w:rStyle w:val="29"/>
          <w:rFonts w:hint="default" w:ascii="Times New Roman" w:hAnsi="Times New Roman" w:cs="Times New Roman"/>
          <w:color w:val="auto"/>
          <w:lang w:val="en-US" w:eastAsia="zh-CN"/>
        </w:rPr>
        <w:footnoteReference w:id="1"/>
      </w:r>
      <w:r>
        <w:rPr>
          <w:rFonts w:hint="default" w:ascii="Times New Roman" w:hAnsi="Times New Roman" w:cs="Times New Roman"/>
          <w:color w:val="auto"/>
          <w:lang w:val="en-US" w:eastAsia="zh-CN"/>
        </w:rPr>
        <w:t>农业，实现“农业更强”。至2030年海门农业增加值达到120亿元以上。</w:t>
      </w:r>
    </w:p>
    <w:p w14:paraId="786C5312">
      <w:pPr>
        <w:pStyle w:val="3"/>
        <w:pageBreakBefore w:val="0"/>
        <w:wordWrap/>
        <w:overflowPunct/>
        <w:topLinePunct w:val="0"/>
        <w:bidi w:val="0"/>
        <w:ind w:left="0" w:leftChars="0"/>
        <w:rPr>
          <w:rFonts w:hint="default" w:ascii="Times New Roman" w:hAnsi="Times New Roman" w:eastAsia="黑体" w:cs="Times New Roman"/>
          <w:color w:val="auto"/>
          <w:lang w:val="en-US" w:eastAsia="zh-CN"/>
        </w:rPr>
      </w:pPr>
      <w:bookmarkStart w:id="29" w:name="_Toc19409349"/>
      <w:bookmarkStart w:id="30" w:name="_Toc29822"/>
      <w:r>
        <w:rPr>
          <w:rFonts w:hint="default" w:ascii="Times New Roman" w:hAnsi="Times New Roman" w:cs="Times New Roman"/>
          <w:color w:val="auto"/>
        </w:rPr>
        <w:t>一、</w:t>
      </w:r>
      <w:bookmarkEnd w:id="28"/>
      <w:r>
        <w:rPr>
          <w:rFonts w:hint="default" w:ascii="Times New Roman" w:hAnsi="Times New Roman" w:cs="Times New Roman"/>
          <w:color w:val="auto"/>
          <w:lang w:val="en-US" w:eastAsia="zh-CN"/>
        </w:rPr>
        <w:t>筑牢粮食安全根基 提升稳产保供能力</w:t>
      </w:r>
      <w:bookmarkEnd w:id="29"/>
      <w:bookmarkEnd w:id="30"/>
    </w:p>
    <w:p w14:paraId="4DA01CEF">
      <w:pPr>
        <w:pageBreakBefore w:val="0"/>
        <w:wordWrap/>
        <w:overflowPunct/>
        <w:topLinePunct w:val="0"/>
        <w:bidi w:val="0"/>
        <w:ind w:left="0" w:leftChars="0"/>
        <w:rPr>
          <w:rFonts w:hint="default" w:ascii="Times New Roman" w:hAnsi="Times New Roman" w:eastAsia="仿宋_GB2312" w:cs="Times New Roman"/>
          <w:color w:val="auto"/>
          <w:lang w:val="en-US" w:eastAsia="zh-CN"/>
        </w:rPr>
      </w:pPr>
      <w:r>
        <w:rPr>
          <w:rFonts w:hint="default" w:ascii="Times New Roman" w:hAnsi="Times New Roman" w:cs="Times New Roman"/>
          <w:color w:val="auto"/>
        </w:rPr>
        <w:t>“十五五”期间</w:t>
      </w:r>
      <w:r>
        <w:rPr>
          <w:rFonts w:hint="default" w:ascii="Times New Roman" w:hAnsi="Times New Roman" w:cs="Times New Roman"/>
          <w:color w:val="auto"/>
          <w:lang w:val="en-US" w:eastAsia="zh-CN"/>
        </w:rPr>
        <w:t>把保障粮食和重要农产品稳定安全供给作为头等大事，压紧压实粮食安全责任，扛起稳产保供的责任担当，在“保总产、提单产、扩来源”上下功夫，全方位夯实粮食等重要农产品的根基，构建多元化食物供给体系，确保粮食安全。</w:t>
      </w:r>
    </w:p>
    <w:p w14:paraId="1386BD3A">
      <w:pPr>
        <w:pStyle w:val="4"/>
        <w:pageBreakBefore w:val="0"/>
        <w:wordWrap/>
        <w:overflowPunct/>
        <w:topLinePunct w:val="0"/>
        <w:bidi w:val="0"/>
        <w:ind w:left="0" w:leftChars="0"/>
        <w:rPr>
          <w:rFonts w:hint="default" w:ascii="Times New Roman" w:hAnsi="Times New Roman" w:cs="Times New Roman"/>
          <w:color w:val="auto"/>
          <w:lang w:val="en-US" w:eastAsia="zh-CN"/>
        </w:rPr>
      </w:pPr>
      <w:bookmarkStart w:id="31" w:name="_Toc1942897946"/>
      <w:bookmarkStart w:id="32" w:name="_Toc5577"/>
      <w:bookmarkStart w:id="33" w:name="_Toc1984764973"/>
      <w:r>
        <w:rPr>
          <w:rFonts w:hint="default" w:ascii="Times New Roman" w:hAnsi="Times New Roman" w:cs="Times New Roman"/>
          <w:color w:val="auto"/>
        </w:rPr>
        <w:t>（一）</w:t>
      </w:r>
      <w:r>
        <w:rPr>
          <w:rFonts w:hint="default" w:ascii="Times New Roman" w:hAnsi="Times New Roman" w:cs="Times New Roman"/>
          <w:color w:val="auto"/>
          <w:lang w:val="en-US" w:eastAsia="zh-CN"/>
        </w:rPr>
        <w:t>压紧压实粮食安全政治责任</w:t>
      </w:r>
      <w:bookmarkEnd w:id="31"/>
      <w:bookmarkEnd w:id="32"/>
    </w:p>
    <w:bookmarkEnd w:id="33"/>
    <w:p w14:paraId="066B0D13">
      <w:pPr>
        <w:bidi w:val="0"/>
        <w:rPr>
          <w:rFonts w:hint="default" w:ascii="Times New Roman" w:hAnsi="Times New Roman" w:cs="Times New Roman"/>
          <w:color w:val="auto"/>
          <w:highlight w:val="none"/>
        </w:rPr>
      </w:pPr>
      <w:bookmarkStart w:id="34" w:name="_Toc1946981873"/>
      <w:bookmarkStart w:id="35" w:name="_Toc1081412360"/>
      <w:r>
        <w:rPr>
          <w:rFonts w:hint="default" w:ascii="Times New Roman" w:hAnsi="Times New Roman" w:cs="Times New Roman"/>
          <w:b/>
          <w:bCs/>
          <w:color w:val="auto"/>
          <w:lang w:val="en-US" w:eastAsia="zh-CN"/>
        </w:rPr>
        <w:t>提升</w:t>
      </w:r>
      <w:r>
        <w:rPr>
          <w:rFonts w:hint="default" w:ascii="Times New Roman" w:hAnsi="Times New Roman" w:cs="Times New Roman"/>
          <w:b/>
          <w:bCs/>
          <w:color w:val="auto"/>
        </w:rPr>
        <w:t>粮食</w:t>
      </w:r>
      <w:bookmarkEnd w:id="34"/>
      <w:bookmarkEnd w:id="35"/>
      <w:r>
        <w:rPr>
          <w:rFonts w:hint="default" w:ascii="Times New Roman" w:hAnsi="Times New Roman" w:cs="Times New Roman"/>
          <w:b/>
          <w:bCs/>
          <w:color w:val="auto"/>
          <w:lang w:val="en-US" w:eastAsia="zh-CN"/>
        </w:rPr>
        <w:t>综合产能。</w:t>
      </w:r>
      <w:r>
        <w:rPr>
          <w:rFonts w:hint="default" w:ascii="Times New Roman" w:hAnsi="Times New Roman" w:cs="Times New Roman"/>
          <w:color w:val="auto"/>
        </w:rPr>
        <w:t>全面落实粮食安全党政同责，</w:t>
      </w:r>
      <w:r>
        <w:rPr>
          <w:rFonts w:hint="default" w:ascii="Times New Roman" w:hAnsi="Times New Roman" w:cs="Times New Roman"/>
          <w:color w:val="auto"/>
          <w:lang w:val="en-US" w:eastAsia="zh-CN"/>
        </w:rPr>
        <w:t>实施新一轮粮食产能提升行动</w:t>
      </w:r>
      <w:r>
        <w:rPr>
          <w:rFonts w:hint="default" w:ascii="Times New Roman" w:hAnsi="Times New Roman" w:cs="Times New Roman"/>
          <w:color w:val="auto"/>
        </w:rPr>
        <w:t>，</w:t>
      </w:r>
      <w:r>
        <w:rPr>
          <w:rFonts w:hint="default" w:ascii="Times New Roman" w:hAnsi="Times New Roman" w:cs="Times New Roman"/>
          <w:color w:val="auto"/>
          <w:lang w:eastAsia="zh-CN"/>
        </w:rPr>
        <w:t>强化优土、</w:t>
      </w:r>
      <w:r>
        <w:rPr>
          <w:rFonts w:hint="eastAsia" w:ascii="Times New Roman" w:hAnsi="Times New Roman" w:cs="Times New Roman"/>
          <w:color w:val="auto"/>
          <w:lang w:eastAsia="zh-CN"/>
        </w:rPr>
        <w:t>优种、</w:t>
      </w:r>
      <w:r>
        <w:rPr>
          <w:rFonts w:hint="default" w:ascii="Times New Roman" w:hAnsi="Times New Roman" w:cs="Times New Roman"/>
          <w:color w:val="auto"/>
          <w:lang w:eastAsia="zh-CN"/>
        </w:rPr>
        <w:t>优产、优储、优销“五优联动”，促进增产增收良性循环。</w:t>
      </w:r>
      <w:r>
        <w:rPr>
          <w:rFonts w:hint="default" w:ascii="Times New Roman" w:hAnsi="Times New Roman" w:cs="Times New Roman"/>
          <w:color w:val="auto"/>
        </w:rPr>
        <w:t>稳定粮食播种面积，主攻单产和品质提升，确保粮食稳产丰产。</w:t>
      </w:r>
      <w:r>
        <w:rPr>
          <w:rFonts w:hint="default" w:ascii="Times New Roman" w:hAnsi="Times New Roman" w:cs="Times New Roman"/>
          <w:color w:val="auto"/>
          <w:lang w:eastAsia="zh-CN"/>
        </w:rPr>
        <w:t>促进良田良种良机良法集成增效，</w:t>
      </w:r>
      <w:r>
        <w:rPr>
          <w:rFonts w:hint="default" w:ascii="Times New Roman" w:hAnsi="Times New Roman" w:cs="Times New Roman"/>
          <w:color w:val="auto"/>
        </w:rPr>
        <w:t>加大高产高效模式集成推广力度，推进水肥一体化；深化开展粮油周年高产竞赛活动和部省绿色高质高效创建行动，打造更高水平的“海</w:t>
      </w:r>
      <w:r>
        <w:rPr>
          <w:rFonts w:hint="default" w:ascii="Times New Roman" w:hAnsi="Times New Roman" w:cs="Times New Roman"/>
          <w:color w:val="auto"/>
          <w:lang w:eastAsia="zh-CN"/>
        </w:rPr>
        <w:t>门</w:t>
      </w:r>
      <w:r>
        <w:rPr>
          <w:rFonts w:hint="default" w:ascii="Times New Roman" w:hAnsi="Times New Roman" w:cs="Times New Roman"/>
          <w:color w:val="auto"/>
        </w:rPr>
        <w:t>粮仓</w:t>
      </w:r>
      <w:r>
        <w:rPr>
          <w:rFonts w:hint="default" w:ascii="Times New Roman" w:hAnsi="Times New Roman" w:cs="Times New Roman"/>
          <w:color w:val="auto"/>
          <w:lang w:eastAsia="zh-CN"/>
        </w:rPr>
        <w:t>”，粮油安全基础更牢</w:t>
      </w:r>
      <w:r>
        <w:rPr>
          <w:rFonts w:hint="default" w:ascii="Times New Roman" w:hAnsi="Times New Roman" w:cs="Times New Roman"/>
          <w:color w:val="auto"/>
        </w:rPr>
        <w:t>。</w:t>
      </w:r>
      <w:r>
        <w:rPr>
          <w:rFonts w:hint="default" w:ascii="Times New Roman" w:hAnsi="Times New Roman" w:cs="Times New Roman"/>
          <w:color w:val="auto"/>
          <w:lang w:val="en-US" w:eastAsia="zh-CN"/>
        </w:rPr>
        <w:t>强化价格、补贴、保险等政策支持和协同，调动农民生产积极性。</w:t>
      </w:r>
      <w:r>
        <w:rPr>
          <w:rFonts w:hint="default" w:ascii="Times New Roman" w:hAnsi="Times New Roman" w:cs="Times New Roman"/>
          <w:color w:val="auto"/>
        </w:rPr>
        <w:t>“十五五”期间</w:t>
      </w:r>
      <w:r>
        <w:rPr>
          <w:rFonts w:hint="default" w:ascii="Times New Roman" w:hAnsi="Times New Roman" w:cs="Times New Roman"/>
          <w:color w:val="auto"/>
          <w:lang w:eastAsia="zh-CN"/>
        </w:rPr>
        <w:t>，</w:t>
      </w:r>
      <w:r>
        <w:rPr>
          <w:rFonts w:hint="default" w:ascii="Times New Roman" w:hAnsi="Times New Roman" w:cs="Times New Roman"/>
          <w:color w:val="auto"/>
        </w:rPr>
        <w:t>单产水平较“十四五”末提升2%以上，粮食综合</w:t>
      </w:r>
      <w:r>
        <w:rPr>
          <w:rFonts w:hint="default" w:ascii="Times New Roman" w:hAnsi="Times New Roman" w:cs="Times New Roman"/>
          <w:color w:val="auto"/>
          <w:highlight w:val="none"/>
        </w:rPr>
        <w:t>产能</w:t>
      </w:r>
      <w:r>
        <w:rPr>
          <w:rFonts w:hint="default" w:ascii="Times New Roman" w:hAnsi="Times New Roman" w:cs="Times New Roman"/>
          <w:color w:val="auto"/>
          <w:highlight w:val="none"/>
          <w:lang w:val="en-US" w:eastAsia="zh-CN"/>
        </w:rPr>
        <w:t>达到26.70</w:t>
      </w:r>
      <w:r>
        <w:rPr>
          <w:rFonts w:hint="default" w:ascii="Times New Roman" w:hAnsi="Times New Roman" w:cs="Times New Roman"/>
          <w:color w:val="auto"/>
          <w:highlight w:val="none"/>
        </w:rPr>
        <w:t>万吨，油料总</w:t>
      </w:r>
      <w:r>
        <w:rPr>
          <w:rFonts w:hint="default" w:ascii="Times New Roman" w:hAnsi="Times New Roman" w:cs="Times New Roman"/>
          <w:color w:val="auto"/>
          <w:highlight w:val="none"/>
          <w:lang w:eastAsia="zh-CN"/>
        </w:rPr>
        <w:t>产量</w:t>
      </w:r>
      <w:r>
        <w:rPr>
          <w:rFonts w:hint="default" w:ascii="Times New Roman" w:hAnsi="Times New Roman" w:cs="Times New Roman"/>
          <w:color w:val="auto"/>
          <w:highlight w:val="none"/>
        </w:rPr>
        <w:t>达到5.6万吨以上。</w:t>
      </w:r>
    </w:p>
    <w:p w14:paraId="51B10539">
      <w:pPr>
        <w:pageBreakBefore w:val="0"/>
        <w:wordWrap/>
        <w:overflowPunct/>
        <w:topLinePunct w:val="0"/>
        <w:bidi w:val="0"/>
        <w:ind w:left="0" w:leftChars="0"/>
        <w:rPr>
          <w:rFonts w:hint="default" w:ascii="Times New Roman" w:hAnsi="Times New Roman" w:cs="Times New Roman"/>
          <w:color w:val="auto"/>
        </w:rPr>
      </w:pPr>
      <w:bookmarkStart w:id="36" w:name="_Toc1716010172"/>
      <w:r>
        <w:rPr>
          <w:rFonts w:hint="default" w:ascii="Times New Roman" w:hAnsi="Times New Roman" w:cs="Times New Roman"/>
          <w:b/>
          <w:bCs/>
          <w:color w:val="auto"/>
        </w:rPr>
        <w:t>提升全链条节粮减损能力</w:t>
      </w:r>
      <w:bookmarkEnd w:id="36"/>
      <w:r>
        <w:rPr>
          <w:rFonts w:hint="default" w:ascii="Times New Roman" w:hAnsi="Times New Roman" w:cs="Times New Roman"/>
          <w:b/>
          <w:bCs/>
          <w:color w:val="auto"/>
          <w:lang w:eastAsia="zh-CN"/>
        </w:rPr>
        <w:t>。</w:t>
      </w:r>
      <w:r>
        <w:rPr>
          <w:rFonts w:hint="default" w:ascii="Times New Roman" w:hAnsi="Times New Roman" w:cs="Times New Roman"/>
          <w:color w:val="auto"/>
        </w:rPr>
        <w:t>强化气象为农服务，加强灾害风险监测预警预报，深化农村气象防灾减灾知识普及与教育，科学防范气象灾害。</w:t>
      </w:r>
      <w:r>
        <w:rPr>
          <w:rFonts w:hint="default" w:ascii="Times New Roman" w:hAnsi="Times New Roman" w:cs="Times New Roman"/>
          <w:color w:val="auto"/>
          <w:lang w:val="en-US" w:eastAsia="zh-CN"/>
        </w:rPr>
        <w:t>建立“安全可靠、引排通畅”的防洪减灾工程体系，</w:t>
      </w:r>
      <w:r>
        <w:rPr>
          <w:rFonts w:hint="default" w:ascii="Times New Roman" w:hAnsi="Times New Roman" w:cs="Times New Roman"/>
          <w:color w:val="auto"/>
        </w:rPr>
        <w:t>巩固提升水旱灾害防御能力，减少旱灾涝灾损失。加大粮食等农作物病虫危害损失率监测，实施动植物保护工程，健全农作物病虫害防治体系，不断提升防御农作物病虫害能力。加强粮食生产、</w:t>
      </w:r>
      <w:r>
        <w:rPr>
          <w:rFonts w:hint="default" w:ascii="Times New Roman" w:hAnsi="Times New Roman" w:cs="Times New Roman"/>
          <w:color w:val="auto"/>
          <w:lang w:val="en-US" w:eastAsia="zh-CN"/>
        </w:rPr>
        <w:t>收获、储运、</w:t>
      </w:r>
      <w:r>
        <w:rPr>
          <w:rFonts w:hint="default" w:ascii="Times New Roman" w:hAnsi="Times New Roman" w:cs="Times New Roman"/>
          <w:color w:val="auto"/>
        </w:rPr>
        <w:t>加工、消费等全链条</w:t>
      </w:r>
      <w:r>
        <w:rPr>
          <w:rFonts w:hint="default" w:ascii="Times New Roman" w:hAnsi="Times New Roman" w:cs="Times New Roman"/>
          <w:color w:val="auto"/>
          <w:lang w:val="en-US" w:eastAsia="zh-CN"/>
        </w:rPr>
        <w:t>全环节</w:t>
      </w:r>
      <w:r>
        <w:rPr>
          <w:rFonts w:hint="default" w:ascii="Times New Roman" w:hAnsi="Times New Roman" w:cs="Times New Roman"/>
          <w:color w:val="auto"/>
        </w:rPr>
        <w:t>节粮减损能力</w:t>
      </w:r>
      <w:r>
        <w:rPr>
          <w:rFonts w:hint="default" w:ascii="Times New Roman" w:hAnsi="Times New Roman" w:cs="Times New Roman"/>
          <w:color w:val="auto"/>
          <w:lang w:eastAsia="zh-CN"/>
        </w:rPr>
        <w:t>，</w:t>
      </w:r>
      <w:r>
        <w:rPr>
          <w:rFonts w:hint="default" w:ascii="Times New Roman" w:hAnsi="Times New Roman" w:cs="Times New Roman"/>
          <w:color w:val="auto"/>
        </w:rPr>
        <w:t>加强应急保供能力建设。</w:t>
      </w:r>
      <w:r>
        <w:rPr>
          <w:rFonts w:hint="default" w:ascii="Times New Roman" w:hAnsi="Times New Roman" w:cs="Times New Roman"/>
          <w:color w:val="auto"/>
          <w:lang w:eastAsia="zh-CN"/>
        </w:rPr>
        <w:t>开展粮食节约和反食品浪费行动，</w:t>
      </w:r>
      <w:r>
        <w:rPr>
          <w:rFonts w:hint="default" w:ascii="Times New Roman" w:hAnsi="Times New Roman" w:cs="Times New Roman"/>
          <w:color w:val="auto"/>
        </w:rPr>
        <w:t>大力提倡爱惜粮食，养成节约粮食的良好习惯。</w:t>
      </w:r>
      <w:bookmarkStart w:id="37" w:name="_Toc1510735982"/>
    </w:p>
    <w:p w14:paraId="61A9A2AC">
      <w:pPr>
        <w:pStyle w:val="4"/>
        <w:pageBreakBefore w:val="0"/>
        <w:wordWrap/>
        <w:overflowPunct/>
        <w:topLinePunct w:val="0"/>
        <w:bidi w:val="0"/>
        <w:ind w:left="0" w:leftChars="0"/>
        <w:rPr>
          <w:rFonts w:hint="default" w:ascii="Times New Roman" w:hAnsi="Times New Roman" w:cs="Times New Roman"/>
          <w:color w:val="auto"/>
          <w:lang w:val="en-US" w:eastAsia="zh-CN"/>
        </w:rPr>
      </w:pPr>
      <w:bookmarkStart w:id="38" w:name="_Toc13667"/>
      <w:bookmarkStart w:id="39" w:name="_Toc1796925787"/>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二</w:t>
      </w:r>
      <w:r>
        <w:rPr>
          <w:rFonts w:hint="default" w:ascii="Times New Roman" w:hAnsi="Times New Roman" w:cs="Times New Roman"/>
          <w:color w:val="auto"/>
          <w:lang w:eastAsia="zh-CN"/>
        </w:rPr>
        <w:t>）</w:t>
      </w:r>
      <w:r>
        <w:rPr>
          <w:rFonts w:hint="default" w:ascii="Times New Roman" w:hAnsi="Times New Roman" w:cs="Times New Roman"/>
          <w:color w:val="auto"/>
        </w:rPr>
        <w:t>完善粮食等重要物资市场流通体系</w:t>
      </w:r>
      <w:bookmarkEnd w:id="37"/>
      <w:bookmarkEnd w:id="38"/>
      <w:bookmarkEnd w:id="39"/>
    </w:p>
    <w:p w14:paraId="7A8B243B">
      <w:pPr>
        <w:rPr>
          <w:rFonts w:hint="default" w:ascii="Times New Roman" w:hAnsi="Times New Roman" w:cs="Times New Roman"/>
          <w:color w:val="auto"/>
          <w:sz w:val="32"/>
          <w:szCs w:val="32"/>
        </w:rPr>
      </w:pPr>
      <w:r>
        <w:rPr>
          <w:rFonts w:hint="default" w:ascii="Times New Roman" w:hAnsi="Times New Roman" w:eastAsia="仿宋_GB2312" w:cs="Times New Roman"/>
          <w:b/>
          <w:bCs/>
          <w:color w:val="auto"/>
          <w:sz w:val="32"/>
          <w:szCs w:val="24"/>
          <w:lang w:val="en-US" w:eastAsia="zh-CN" w:bidi="ar-SA"/>
        </w:rPr>
        <w:t>完善粮食等重要物资的流通储备体系。</w:t>
      </w:r>
      <w:r>
        <w:rPr>
          <w:rFonts w:hint="default" w:ascii="Times New Roman" w:hAnsi="Times New Roman" w:cs="Times New Roman"/>
          <w:color w:val="auto"/>
          <w:sz w:val="32"/>
          <w:szCs w:val="32"/>
        </w:rPr>
        <w:t>严格粮食安全责任制，建立健全粮食等重要物资的储备及利益调节机制，严格</w:t>
      </w:r>
      <w:r>
        <w:rPr>
          <w:rFonts w:hint="default" w:ascii="Times New Roman" w:hAnsi="Times New Roman" w:cs="Times New Roman" w:eastAsiaTheme="minorEastAsia"/>
          <w:strike w:val="0"/>
          <w:dstrike w:val="0"/>
          <w:color w:val="auto"/>
          <w:sz w:val="32"/>
          <w:szCs w:val="32"/>
          <w:lang w:eastAsia="zh-CN"/>
        </w:rPr>
        <w:t>执行</w:t>
      </w:r>
      <w:r>
        <w:rPr>
          <w:rFonts w:hint="default" w:ascii="Times New Roman" w:hAnsi="Times New Roman" w:cs="Times New Roman"/>
          <w:color w:val="auto"/>
          <w:sz w:val="32"/>
          <w:szCs w:val="32"/>
        </w:rPr>
        <w:t>地方粮食储备规模计划，“十五五”期间保持地方粮食储备100%的完成率。深化储备体制机制改革，执行“专企管理、专库储存、专人保管、专账核算”要求，确保储备数量真实、质量良好、管理规范、调用高效。探索AI赋能储备管理，提升仓储设施综合利用率。按照“新建一批、淘汰一批”原则，淘汰“小散老旧”仓容0.9万吨，支持粮库设施设备升级改造，配备扦检一体化、高效进出仓设备。优化“四合一”（粮情检测、机械通风、环流熏蒸、谷物冷却）储粮技术应用，配套绿色作业装备和高效环保型设施，整体提升仓储设施的绿色储粮和智能化水平。至2030年地方粮食企业现代型仓储设施覆盖率</w:t>
      </w:r>
      <w:r>
        <w:rPr>
          <w:rFonts w:hint="default" w:ascii="Times New Roman" w:hAnsi="Times New Roman" w:cs="Times New Roman"/>
          <w:color w:val="auto"/>
          <w:sz w:val="32"/>
          <w:szCs w:val="32"/>
          <w:lang w:eastAsia="zh-CN"/>
        </w:rPr>
        <w:t>达</w:t>
      </w:r>
      <w:r>
        <w:rPr>
          <w:rFonts w:hint="default" w:ascii="Times New Roman" w:hAnsi="Times New Roman" w:cs="Times New Roman"/>
          <w:color w:val="auto"/>
          <w:sz w:val="32"/>
          <w:szCs w:val="32"/>
        </w:rPr>
        <w:t>97%。</w:t>
      </w:r>
    </w:p>
    <w:p w14:paraId="57C7669A">
      <w:pPr>
        <w:rPr>
          <w:rFonts w:hint="default" w:ascii="Times New Roman" w:hAnsi="Times New Roman" w:cs="Times New Roman"/>
          <w:color w:val="auto"/>
          <w:sz w:val="32"/>
          <w:szCs w:val="32"/>
        </w:rPr>
      </w:pPr>
      <w:r>
        <w:rPr>
          <w:rFonts w:hint="default" w:ascii="Times New Roman" w:hAnsi="Times New Roman" w:eastAsia="仿宋_GB2312" w:cs="Times New Roman"/>
          <w:b/>
          <w:bCs/>
          <w:color w:val="auto"/>
          <w:sz w:val="32"/>
          <w:szCs w:val="24"/>
          <w:lang w:val="en-US" w:eastAsia="zh-CN" w:bidi="ar-SA"/>
        </w:rPr>
        <w:t>保障粮食</w:t>
      </w:r>
      <w:r>
        <w:rPr>
          <w:rFonts w:hint="default" w:ascii="Times New Roman" w:hAnsi="Times New Roman" w:cs="Times New Roman"/>
          <w:b/>
          <w:bCs/>
          <w:color w:val="auto"/>
          <w:sz w:val="32"/>
          <w:szCs w:val="24"/>
          <w:lang w:val="en-US" w:eastAsia="zh-CN" w:bidi="ar-SA"/>
        </w:rPr>
        <w:t>等重要物资的</w:t>
      </w:r>
      <w:r>
        <w:rPr>
          <w:rFonts w:hint="default" w:ascii="Times New Roman" w:hAnsi="Times New Roman" w:eastAsia="仿宋_GB2312" w:cs="Times New Roman"/>
          <w:b/>
          <w:bCs/>
          <w:color w:val="auto"/>
          <w:sz w:val="32"/>
          <w:szCs w:val="24"/>
          <w:lang w:val="en-US" w:eastAsia="zh-CN" w:bidi="ar-SA"/>
        </w:rPr>
        <w:t>质量安全与市场秩序</w:t>
      </w:r>
      <w:r>
        <w:rPr>
          <w:rFonts w:hint="default" w:ascii="Times New Roman" w:hAnsi="Times New Roman" w:cs="Times New Roman"/>
          <w:b/>
          <w:bCs/>
          <w:color w:val="auto"/>
          <w:sz w:val="32"/>
          <w:szCs w:val="24"/>
          <w:lang w:val="en-US" w:eastAsia="zh-CN" w:bidi="ar-SA"/>
        </w:rPr>
        <w:t>。</w:t>
      </w:r>
      <w:r>
        <w:rPr>
          <w:rFonts w:hint="default" w:ascii="Times New Roman" w:hAnsi="Times New Roman" w:cs="Times New Roman"/>
          <w:color w:val="auto"/>
          <w:sz w:val="32"/>
          <w:szCs w:val="32"/>
        </w:rPr>
        <w:t>综合施策推动粮食等重要农产品价格保持在合理水平，稳定市场供需。健全粮食质量安全风险监测和市场监测预警体系，</w:t>
      </w:r>
      <w:r>
        <w:rPr>
          <w:rFonts w:hint="eastAsia" w:ascii="Times New Roman" w:hAnsi="Times New Roman" w:cs="Times New Roman"/>
          <w:color w:val="auto"/>
          <w:sz w:val="32"/>
          <w:szCs w:val="32"/>
          <w:lang w:eastAsia="zh-CN"/>
        </w:rPr>
        <w:t>常态化开展</w:t>
      </w:r>
      <w:r>
        <w:rPr>
          <w:rFonts w:hint="default" w:ascii="Times New Roman" w:hAnsi="Times New Roman" w:cs="Times New Roman"/>
          <w:color w:val="auto"/>
          <w:lang w:val="en-US" w:eastAsia="zh-CN"/>
        </w:rPr>
        <w:t>蔬菜产销信息监测，</w:t>
      </w:r>
      <w:r>
        <w:rPr>
          <w:rFonts w:hint="default" w:ascii="Times New Roman" w:hAnsi="Times New Roman" w:cs="Times New Roman"/>
          <w:color w:val="auto"/>
          <w:sz w:val="32"/>
          <w:szCs w:val="32"/>
        </w:rPr>
        <w:t>引导菜农合理安排生产。优化粮食、生猪等市场调控机制，完善制度建设。依托“江苏省地方储备粮动态监管平台”实现对政策性粮食收购、储存、销售等环节的实时监控和穿透式监管，消除购销风险隐患，融入全国统一大市场。加强联合执法监督，严厉打击涉粮违法违规行为，维护正常收购秩序，保护农民积极性。加强新收获粮食、库存粮食质量监测预警，确保质量安全风险早发现、早处置。</w:t>
      </w:r>
    </w:p>
    <w:p w14:paraId="6B5E619E">
      <w:pPr>
        <w:rPr>
          <w:rFonts w:hint="default" w:ascii="Times New Roman" w:hAnsi="Times New Roman" w:cs="Times New Roman"/>
          <w:color w:val="auto"/>
          <w:sz w:val="32"/>
          <w:szCs w:val="32"/>
        </w:rPr>
      </w:pPr>
      <w:r>
        <w:rPr>
          <w:rFonts w:hint="default" w:ascii="Times New Roman" w:hAnsi="Times New Roman" w:cs="Times New Roman"/>
          <w:b/>
          <w:bCs/>
          <w:color w:val="auto"/>
          <w:sz w:val="32"/>
          <w:szCs w:val="24"/>
          <w:lang w:val="en-US" w:eastAsia="zh-CN" w:bidi="ar-SA"/>
        </w:rPr>
        <w:t>完善粮食等重要物资收购、应急保供与产业发展机制。</w:t>
      </w:r>
      <w:r>
        <w:rPr>
          <w:rFonts w:hint="default" w:ascii="Times New Roman" w:hAnsi="Times New Roman" w:cs="Times New Roman"/>
          <w:color w:val="auto"/>
          <w:sz w:val="32"/>
          <w:szCs w:val="32"/>
        </w:rPr>
        <w:t>执行国家粮食收购政策，落实市场化收购主导、政策性收购托底的工作基调，引导国有粮食企业带头入市，鼓励多元主体按市场需求开展订单收购，确保不发生农民“卖粮难”。完善应急保供机制，修订《南通市海门区粮食安全事件应急预案》，按期开展应急演练，动态调整应急网点布局，提升应对</w:t>
      </w:r>
      <w:r>
        <w:rPr>
          <w:rFonts w:hint="default" w:ascii="Times New Roman" w:hAnsi="Times New Roman" w:cs="Times New Roman"/>
          <w:color w:val="auto"/>
          <w:sz w:val="32"/>
          <w:szCs w:val="32"/>
          <w:lang w:eastAsia="zh-CN"/>
        </w:rPr>
        <w:t>粮食</w:t>
      </w:r>
      <w:r>
        <w:rPr>
          <w:rFonts w:hint="default" w:ascii="Times New Roman" w:hAnsi="Times New Roman" w:cs="Times New Roman"/>
          <w:color w:val="auto"/>
          <w:sz w:val="32"/>
          <w:szCs w:val="32"/>
        </w:rPr>
        <w:t>市场大幅波动的能力。“十五五”期间保持粮食应急网点100%落实率。推进粮食产业建设，深化国有粮食企业改革，增强核心功能；培育具有竞争力的优质企业，支持申报“中国好粮油”“江苏好粮油”及地理标志商标产品，提升海门粮食品牌影响力。同时，组织开展蔬菜和水果产销对接活动，促进流通顺畅，并统筹开展政策性粮食库存、收购等专项检查，夯实粮食安全保障基础。</w:t>
      </w:r>
    </w:p>
    <w:p w14:paraId="5B0A0656">
      <w:pPr>
        <w:pStyle w:val="4"/>
        <w:pageBreakBefore w:val="0"/>
        <w:wordWrap/>
        <w:overflowPunct/>
        <w:topLinePunct w:val="0"/>
        <w:bidi w:val="0"/>
        <w:ind w:left="0" w:leftChars="0"/>
        <w:rPr>
          <w:rFonts w:hint="default" w:ascii="Times New Roman" w:hAnsi="Times New Roman" w:cs="Times New Roman"/>
          <w:color w:val="auto"/>
          <w:lang w:val="en-US" w:eastAsia="zh-CN"/>
        </w:rPr>
      </w:pPr>
      <w:bookmarkStart w:id="40" w:name="_Toc28756"/>
      <w:bookmarkStart w:id="41" w:name="_Toc869174348"/>
      <w:bookmarkStart w:id="42" w:name="_Toc1143429959"/>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三</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构建多元化食物供给体系</w:t>
      </w:r>
      <w:bookmarkEnd w:id="40"/>
      <w:bookmarkEnd w:id="41"/>
      <w:bookmarkEnd w:id="42"/>
    </w:p>
    <w:p w14:paraId="765E5B81">
      <w:pPr>
        <w:pageBreakBefore w:val="0"/>
        <w:wordWrap/>
        <w:overflowPunct/>
        <w:topLinePunct w:val="0"/>
        <w:bidi w:val="0"/>
        <w:ind w:left="0" w:leftChars="0"/>
        <w:rPr>
          <w:rFonts w:hint="default" w:ascii="Times New Roman" w:hAnsi="Times New Roman" w:cs="Times New Roman"/>
          <w:color w:val="auto"/>
          <w:highlight w:val="none"/>
        </w:rPr>
      </w:pPr>
      <w:r>
        <w:rPr>
          <w:rFonts w:hint="default" w:ascii="Times New Roman" w:hAnsi="Times New Roman" w:cs="Times New Roman"/>
          <w:color w:val="auto"/>
          <w:lang w:val="en-US" w:eastAsia="zh-CN"/>
        </w:rPr>
        <w:t>牢固树立大农业观、大食物观，农林牧渔并举，构建多元化食物供给体系。进一步</w:t>
      </w:r>
      <w:r>
        <w:rPr>
          <w:rFonts w:hint="default" w:ascii="Times New Roman" w:hAnsi="Times New Roman" w:cs="Times New Roman"/>
          <w:color w:val="auto"/>
        </w:rPr>
        <w:t>压实“菜篮子”市长负责制，提升“菜篮子”产品供需调节、调运和应急保障能力，多渠道拓展食物来源。围绕“核心产品引领、特色品类支撑”的区域格局，实施供应基地品类强基行动，巩固</w:t>
      </w:r>
      <w:r>
        <w:rPr>
          <w:rFonts w:hint="default" w:ascii="Times New Roman" w:hAnsi="Times New Roman" w:cs="Times New Roman"/>
          <w:color w:val="auto"/>
          <w:lang w:eastAsia="zh-CN"/>
        </w:rPr>
        <w:t>提升</w:t>
      </w:r>
      <w:r>
        <w:rPr>
          <w:rFonts w:hint="default" w:ascii="Times New Roman" w:hAnsi="Times New Roman" w:cs="Times New Roman"/>
          <w:color w:val="auto"/>
        </w:rPr>
        <w:t>省级</w:t>
      </w:r>
      <w:r>
        <w:rPr>
          <w:rFonts w:hint="default" w:ascii="Times New Roman" w:hAnsi="Times New Roman" w:cs="Times New Roman"/>
          <w:color w:val="auto"/>
          <w:lang w:eastAsia="zh-CN"/>
        </w:rPr>
        <w:t>“菜篮子”</w:t>
      </w:r>
      <w:r>
        <w:rPr>
          <w:rFonts w:hint="default" w:ascii="Times New Roman" w:hAnsi="Times New Roman" w:cs="Times New Roman"/>
          <w:color w:val="auto"/>
        </w:rPr>
        <w:t>绿色保供基地，稳定上海外延蔬菜基地</w:t>
      </w:r>
      <w:r>
        <w:rPr>
          <w:rFonts w:hint="default" w:ascii="Times New Roman" w:hAnsi="Times New Roman" w:cs="Times New Roman"/>
          <w:color w:val="auto"/>
          <w:lang w:eastAsia="zh-CN"/>
        </w:rPr>
        <w:t>和供沪供港种植</w:t>
      </w:r>
      <w:r>
        <w:rPr>
          <w:rFonts w:hint="default" w:ascii="Times New Roman" w:hAnsi="Times New Roman" w:cs="Times New Roman"/>
          <w:color w:val="auto"/>
        </w:rPr>
        <w:t>规模。做好生猪产能监测和调控，加强</w:t>
      </w:r>
      <w:r>
        <w:rPr>
          <w:rFonts w:hint="default" w:ascii="Times New Roman" w:hAnsi="Times New Roman" w:cs="Times New Roman"/>
          <w:color w:val="auto"/>
          <w:lang w:val="en-US" w:eastAsia="zh-CN"/>
        </w:rPr>
        <w:t>动物</w:t>
      </w:r>
      <w:r>
        <w:rPr>
          <w:rFonts w:hint="default" w:ascii="Times New Roman" w:hAnsi="Times New Roman" w:cs="Times New Roman"/>
          <w:color w:val="auto"/>
        </w:rPr>
        <w:t>疫情防控，促进平稳发展。到</w:t>
      </w:r>
      <w:r>
        <w:rPr>
          <w:rFonts w:hint="default" w:ascii="Times New Roman" w:hAnsi="Times New Roman" w:cs="Times New Roman"/>
          <w:color w:val="auto"/>
          <w:lang w:eastAsia="zh-CN"/>
        </w:rPr>
        <w:t>2030年蔬菜播种面积稳定在</w:t>
      </w:r>
      <w:r>
        <w:rPr>
          <w:rFonts w:hint="default" w:ascii="Times New Roman" w:hAnsi="Times New Roman" w:cs="Times New Roman"/>
          <w:color w:val="auto"/>
          <w:lang w:val="en-US" w:eastAsia="zh-CN"/>
        </w:rPr>
        <w:t>53</w:t>
      </w:r>
      <w:r>
        <w:rPr>
          <w:rFonts w:hint="default" w:ascii="Times New Roman" w:hAnsi="Times New Roman" w:cs="Times New Roman"/>
          <w:color w:val="auto"/>
          <w:lang w:eastAsia="zh-CN"/>
        </w:rPr>
        <w:t>万亩次，产量</w:t>
      </w:r>
      <w:r>
        <w:rPr>
          <w:rFonts w:hint="default" w:ascii="Times New Roman" w:hAnsi="Times New Roman" w:cs="Times New Roman"/>
          <w:color w:val="auto"/>
          <w:lang w:val="en-US" w:eastAsia="zh-CN"/>
        </w:rPr>
        <w:t>保持在</w:t>
      </w:r>
      <w:r>
        <w:rPr>
          <w:rFonts w:hint="default" w:ascii="Times New Roman" w:hAnsi="Times New Roman" w:cs="Times New Roman"/>
          <w:color w:val="auto"/>
          <w:lang w:eastAsia="zh-CN"/>
        </w:rPr>
        <w:t>136万吨左右；</w:t>
      </w:r>
      <w:r>
        <w:rPr>
          <w:rFonts w:hint="default" w:ascii="Times New Roman" w:hAnsi="Times New Roman" w:cs="Times New Roman"/>
          <w:color w:val="auto"/>
          <w:highlight w:val="none"/>
          <w:lang w:val="en-US" w:eastAsia="zh-CN"/>
        </w:rPr>
        <w:t>肉类</w:t>
      </w:r>
      <w:r>
        <w:rPr>
          <w:rFonts w:hint="default" w:ascii="Times New Roman" w:hAnsi="Times New Roman" w:cs="Times New Roman"/>
          <w:color w:val="auto"/>
          <w:highlight w:val="none"/>
        </w:rPr>
        <w:t>总产量达3.58万吨</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rPr>
        <w:t>提升水产养殖科技含量，</w:t>
      </w:r>
      <w:r>
        <w:rPr>
          <w:rFonts w:hint="default" w:ascii="Times New Roman" w:hAnsi="Times New Roman" w:cs="Times New Roman"/>
          <w:color w:val="auto"/>
          <w:highlight w:val="none"/>
        </w:rPr>
        <w:t>水产养殖面积</w:t>
      </w:r>
      <w:r>
        <w:rPr>
          <w:rFonts w:hint="default" w:ascii="Times New Roman" w:hAnsi="Times New Roman" w:cs="Times New Roman"/>
          <w:color w:val="auto"/>
          <w:highlight w:val="none"/>
          <w:lang w:val="en-US" w:eastAsia="zh-CN"/>
        </w:rPr>
        <w:t>约为</w:t>
      </w:r>
      <w:r>
        <w:rPr>
          <w:rFonts w:hint="default" w:ascii="Times New Roman" w:hAnsi="Times New Roman" w:cs="Times New Roman"/>
          <w:color w:val="auto"/>
          <w:highlight w:val="none"/>
        </w:rPr>
        <w:t>5万亩</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总产量稳定</w:t>
      </w:r>
      <w:r>
        <w:rPr>
          <w:rFonts w:hint="default" w:ascii="Times New Roman" w:hAnsi="Times New Roman" w:cs="Times New Roman"/>
          <w:color w:val="auto"/>
          <w:highlight w:val="none"/>
          <w:lang w:val="en-US" w:eastAsia="zh-CN"/>
        </w:rPr>
        <w:t>在</w:t>
      </w:r>
      <w:r>
        <w:rPr>
          <w:rFonts w:hint="default" w:ascii="Times New Roman" w:hAnsi="Times New Roman" w:cs="Times New Roman"/>
          <w:color w:val="auto"/>
          <w:highlight w:val="none"/>
        </w:rPr>
        <w:t>5.3</w:t>
      </w:r>
      <w:r>
        <w:rPr>
          <w:rFonts w:hint="default" w:ascii="Times New Roman" w:hAnsi="Times New Roman" w:cs="Times New Roman"/>
          <w:color w:val="auto"/>
          <w:highlight w:val="none"/>
          <w:lang w:val="en-US" w:eastAsia="zh-CN"/>
        </w:rPr>
        <w:t>0</w:t>
      </w:r>
      <w:r>
        <w:rPr>
          <w:rFonts w:hint="default" w:ascii="Times New Roman" w:hAnsi="Times New Roman" w:cs="Times New Roman"/>
          <w:color w:val="auto"/>
          <w:highlight w:val="none"/>
        </w:rPr>
        <w:t>万吨，其中淡水特种水产养殖面积</w:t>
      </w:r>
      <w:r>
        <w:rPr>
          <w:rFonts w:hint="default" w:ascii="Times New Roman" w:hAnsi="Times New Roman" w:cs="Times New Roman"/>
          <w:color w:val="auto"/>
          <w:highlight w:val="none"/>
          <w:lang w:val="en-US" w:eastAsia="zh-CN"/>
        </w:rPr>
        <w:t>约</w:t>
      </w:r>
      <w:r>
        <w:rPr>
          <w:rFonts w:hint="default" w:ascii="Times New Roman" w:hAnsi="Times New Roman" w:cs="Times New Roman"/>
          <w:color w:val="auto"/>
          <w:highlight w:val="none"/>
        </w:rPr>
        <w:t>占8</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w:t>
      </w:r>
      <w:bookmarkStart w:id="43" w:name="_Toc1943647557"/>
    </w:p>
    <w:p w14:paraId="2CEF5C5C">
      <w:pPr>
        <w:pStyle w:val="4"/>
        <w:pageBreakBefore w:val="0"/>
        <w:wordWrap/>
        <w:overflowPunct/>
        <w:topLinePunct w:val="0"/>
        <w:bidi w:val="0"/>
        <w:ind w:left="0" w:leftChars="0"/>
        <w:rPr>
          <w:rFonts w:hint="default" w:ascii="Times New Roman" w:hAnsi="Times New Roman" w:cs="Times New Roman"/>
          <w:color w:val="auto"/>
          <w:lang w:val="en-US" w:eastAsia="zh-CN"/>
        </w:rPr>
      </w:pPr>
      <w:bookmarkStart w:id="44" w:name="_Toc1029499942"/>
      <w:bookmarkStart w:id="45" w:name="_Toc17847"/>
      <w:r>
        <w:rPr>
          <w:rFonts w:hint="default" w:ascii="Times New Roman" w:hAnsi="Times New Roman" w:cs="Times New Roman"/>
          <w:color w:val="auto"/>
          <w:lang w:val="en-US" w:eastAsia="zh-CN"/>
        </w:rPr>
        <w:t>（四）全面保障农产品质量安全</w:t>
      </w:r>
      <w:bookmarkEnd w:id="43"/>
      <w:bookmarkEnd w:id="44"/>
      <w:bookmarkEnd w:id="45"/>
    </w:p>
    <w:p w14:paraId="3133342C">
      <w:pPr>
        <w:pageBreakBefore w:val="0"/>
        <w:wordWrap/>
        <w:overflowPunct/>
        <w:topLinePunct w:val="0"/>
        <w:bidi w:val="0"/>
        <w:ind w:left="0" w:leftChars="0"/>
        <w:rPr>
          <w:rFonts w:hint="default" w:ascii="Times New Roman" w:hAnsi="Times New Roman" w:eastAsia="仿宋_GB2312" w:cs="Times New Roman"/>
          <w:b w:val="0"/>
          <w:color w:val="auto"/>
          <w:sz w:val="32"/>
          <w:szCs w:val="24"/>
          <w:highlight w:val="none"/>
          <w:lang w:val="en-US" w:eastAsia="zh-CN" w:bidi="ar-SA"/>
        </w:rPr>
      </w:pPr>
      <w:r>
        <w:rPr>
          <w:rFonts w:hint="default" w:ascii="Times New Roman" w:hAnsi="Times New Roman" w:eastAsia="仿宋_GB2312" w:cs="Times New Roman"/>
          <w:b w:val="0"/>
          <w:color w:val="auto"/>
          <w:sz w:val="32"/>
          <w:szCs w:val="24"/>
          <w:highlight w:val="none"/>
          <w:lang w:val="en-US" w:eastAsia="zh-CN" w:bidi="ar-SA"/>
        </w:rPr>
        <w:t>作为首批“国家农产品质量安全县”，支持绿色优质农产品生产加工企业积极对接农产品基地，发挥“获证产品”+“优质安全”的叠加效应，</w:t>
      </w:r>
      <w:r>
        <w:rPr>
          <w:rFonts w:hint="default" w:ascii="Times New Roman" w:hAnsi="Times New Roman" w:cs="Times New Roman"/>
          <w:b w:val="0"/>
          <w:color w:val="auto"/>
          <w:sz w:val="32"/>
          <w:szCs w:val="24"/>
          <w:highlight w:val="none"/>
          <w:lang w:val="en-US" w:eastAsia="zh-CN" w:bidi="ar-SA"/>
        </w:rPr>
        <w:t>持续巩固</w:t>
      </w:r>
      <w:r>
        <w:rPr>
          <w:rFonts w:hint="default" w:ascii="Times New Roman" w:hAnsi="Times New Roman" w:eastAsia="仿宋_GB2312" w:cs="Times New Roman"/>
          <w:b w:val="0"/>
          <w:color w:val="auto"/>
          <w:sz w:val="32"/>
          <w:szCs w:val="24"/>
          <w:highlight w:val="none"/>
          <w:lang w:val="en-US" w:eastAsia="zh-CN" w:bidi="ar-SA"/>
        </w:rPr>
        <w:t>绿色优质农产品比重。以全程质量控制为核心，</w:t>
      </w:r>
      <w:r>
        <w:rPr>
          <w:rFonts w:hint="default" w:ascii="Times New Roman" w:hAnsi="Times New Roman" w:cs="Times New Roman"/>
          <w:b w:val="0"/>
          <w:color w:val="auto"/>
          <w:sz w:val="32"/>
          <w:szCs w:val="24"/>
          <w:highlight w:val="none"/>
          <w:lang w:val="en-US" w:eastAsia="zh-CN" w:bidi="ar-SA"/>
        </w:rPr>
        <w:t>提高耕地质量，</w:t>
      </w:r>
      <w:r>
        <w:rPr>
          <w:rFonts w:hint="default" w:ascii="Times New Roman" w:hAnsi="Times New Roman" w:eastAsia="仿宋_GB2312" w:cs="Times New Roman"/>
          <w:b w:val="0"/>
          <w:color w:val="auto"/>
          <w:sz w:val="32"/>
          <w:szCs w:val="24"/>
          <w:highlight w:val="none"/>
          <w:lang w:val="en-US" w:eastAsia="zh-CN" w:bidi="ar-SA"/>
        </w:rPr>
        <w:t>落实病虫害绿色防控，推进兽用抗菌药减量使用，</w:t>
      </w:r>
      <w:r>
        <w:rPr>
          <w:rFonts w:hint="default" w:ascii="Times New Roman" w:hAnsi="Times New Roman" w:cs="Times New Roman"/>
          <w:b w:val="0"/>
          <w:color w:val="auto"/>
          <w:sz w:val="32"/>
          <w:szCs w:val="24"/>
          <w:highlight w:val="none"/>
          <w:lang w:val="en-US" w:eastAsia="zh-CN" w:bidi="ar-SA"/>
        </w:rPr>
        <w:t>清洁化生产，实现</w:t>
      </w:r>
      <w:r>
        <w:rPr>
          <w:rFonts w:hint="default" w:ascii="Times New Roman" w:hAnsi="Times New Roman" w:eastAsia="仿宋_GB2312" w:cs="Times New Roman"/>
          <w:b w:val="0"/>
          <w:color w:val="auto"/>
          <w:sz w:val="32"/>
          <w:szCs w:val="24"/>
          <w:highlight w:val="none"/>
          <w:lang w:val="en-US" w:eastAsia="zh-CN" w:bidi="ar-SA"/>
        </w:rPr>
        <w:t>农产品质量安全监测合格率</w:t>
      </w:r>
      <w:r>
        <w:rPr>
          <w:rFonts w:hint="default" w:ascii="Times New Roman" w:hAnsi="Times New Roman" w:cs="Times New Roman"/>
          <w:b w:val="0"/>
          <w:color w:val="auto"/>
          <w:sz w:val="32"/>
          <w:szCs w:val="24"/>
          <w:highlight w:val="none"/>
          <w:lang w:val="en-US" w:eastAsia="zh-CN" w:bidi="ar-SA"/>
        </w:rPr>
        <w:t>持续稳定在</w:t>
      </w:r>
      <w:r>
        <w:rPr>
          <w:rFonts w:hint="default" w:ascii="Times New Roman" w:hAnsi="Times New Roman" w:eastAsia="仿宋_GB2312" w:cs="Times New Roman"/>
          <w:b w:val="0"/>
          <w:color w:val="auto"/>
          <w:sz w:val="32"/>
          <w:szCs w:val="24"/>
          <w:highlight w:val="none"/>
          <w:lang w:val="en-US" w:eastAsia="zh-CN" w:bidi="ar-SA"/>
        </w:rPr>
        <w:t>98%</w:t>
      </w:r>
      <w:r>
        <w:rPr>
          <w:rFonts w:hint="default" w:ascii="Times New Roman" w:hAnsi="Times New Roman" w:cs="Times New Roman"/>
          <w:b w:val="0"/>
          <w:color w:val="auto"/>
          <w:sz w:val="32"/>
          <w:szCs w:val="24"/>
          <w:highlight w:val="none"/>
          <w:lang w:val="en-US" w:eastAsia="zh-CN" w:bidi="ar-SA"/>
        </w:rPr>
        <w:t>以上</w:t>
      </w:r>
      <w:r>
        <w:rPr>
          <w:rFonts w:hint="default" w:ascii="Times New Roman" w:hAnsi="Times New Roman" w:eastAsia="仿宋_GB2312" w:cs="Times New Roman"/>
          <w:b w:val="0"/>
          <w:color w:val="auto"/>
          <w:sz w:val="32"/>
          <w:szCs w:val="24"/>
          <w:highlight w:val="none"/>
          <w:lang w:val="en-US" w:eastAsia="zh-CN" w:bidi="ar-SA"/>
        </w:rPr>
        <w:t>。深化农产品药物残留治理，全面建成“源头可靠、过程透明、风险可控、消费放心”的农产品质量安全治理体系，通过网格化监管和智慧追溯的双轮驱动，为全国县域农产品质量安全监管提供“海门经验”，确保人民群众的“舌尖安全”。加强政策引导，强化财政支持，对获得绿色食品、名特优新农产品和绿色优质农产品基地等优质农产品认证的主体给予财政奖补。</w:t>
      </w:r>
    </w:p>
    <w:p w14:paraId="1B16D75C">
      <w:pPr>
        <w:pStyle w:val="4"/>
        <w:pageBreakBefore w:val="0"/>
        <w:wordWrap/>
        <w:overflowPunct/>
        <w:topLinePunct w:val="0"/>
        <w:bidi w:val="0"/>
        <w:ind w:left="0" w:leftChars="0"/>
        <w:rPr>
          <w:rFonts w:hint="default" w:ascii="Times New Roman" w:hAnsi="Times New Roman" w:cs="Times New Roman"/>
          <w:color w:val="auto"/>
        </w:rPr>
      </w:pPr>
      <w:bookmarkStart w:id="46" w:name="_Toc529781315"/>
      <w:bookmarkStart w:id="47" w:name="_Toc957351877"/>
      <w:bookmarkStart w:id="48" w:name="_Toc30876"/>
      <w:r>
        <w:rPr>
          <w:rFonts w:hint="default" w:ascii="Times New Roman" w:hAnsi="Times New Roman" w:cs="Times New Roman"/>
          <w:color w:val="auto"/>
        </w:rPr>
        <w:t>（</w:t>
      </w:r>
      <w:r>
        <w:rPr>
          <w:rFonts w:hint="default" w:ascii="Times New Roman" w:hAnsi="Times New Roman" w:cs="Times New Roman"/>
          <w:color w:val="auto"/>
          <w:lang w:val="en-US" w:eastAsia="zh-CN"/>
        </w:rPr>
        <w:t>五</w:t>
      </w:r>
      <w:r>
        <w:rPr>
          <w:rFonts w:hint="default" w:ascii="Times New Roman" w:hAnsi="Times New Roman" w:cs="Times New Roman"/>
          <w:color w:val="auto"/>
        </w:rPr>
        <w:t>）强化耕地保护</w:t>
      </w:r>
      <w:r>
        <w:rPr>
          <w:rFonts w:hint="default" w:ascii="Times New Roman" w:hAnsi="Times New Roman" w:cs="Times New Roman"/>
          <w:color w:val="auto"/>
          <w:lang w:eastAsia="zh-CN"/>
        </w:rPr>
        <w:t>与</w:t>
      </w:r>
      <w:r>
        <w:rPr>
          <w:rFonts w:hint="default" w:ascii="Times New Roman" w:hAnsi="Times New Roman" w:cs="Times New Roman"/>
          <w:color w:val="auto"/>
        </w:rPr>
        <w:t>质量提升</w:t>
      </w:r>
      <w:bookmarkEnd w:id="46"/>
      <w:bookmarkEnd w:id="47"/>
      <w:bookmarkEnd w:id="48"/>
      <w:bookmarkStart w:id="49" w:name="_Toc2017046423"/>
    </w:p>
    <w:p w14:paraId="24606D41">
      <w:pPr>
        <w:pageBreakBefore w:val="0"/>
        <w:wordWrap/>
        <w:overflowPunct/>
        <w:topLinePunct w:val="0"/>
        <w:bidi w:val="0"/>
        <w:ind w:left="0" w:leftChars="0"/>
        <w:rPr>
          <w:rFonts w:hint="default" w:ascii="Times New Roman" w:hAnsi="Times New Roman" w:cs="Times New Roman"/>
          <w:color w:val="auto"/>
          <w:lang w:val="en-US" w:eastAsia="zh-CN"/>
        </w:rPr>
      </w:pPr>
      <w:bookmarkStart w:id="50" w:name="_Toc2129973854"/>
      <w:bookmarkStart w:id="51" w:name="_Toc1265513415"/>
      <w:r>
        <w:rPr>
          <w:rFonts w:hint="default" w:ascii="Times New Roman" w:hAnsi="Times New Roman" w:cs="Times New Roman"/>
          <w:b/>
          <w:bCs/>
          <w:color w:val="auto"/>
        </w:rPr>
        <w:t>严格落实耕地保护制度</w:t>
      </w:r>
      <w:bookmarkEnd w:id="49"/>
      <w:bookmarkEnd w:id="50"/>
      <w:bookmarkEnd w:id="51"/>
      <w:bookmarkStart w:id="52" w:name="_Toc322379819"/>
      <w:bookmarkStart w:id="53" w:name="_Toc805926017"/>
      <w:r>
        <w:rPr>
          <w:rFonts w:hint="default" w:ascii="Times New Roman" w:hAnsi="Times New Roman" w:cs="Times New Roman"/>
          <w:b/>
          <w:bCs/>
          <w:color w:val="auto"/>
          <w:lang w:eastAsia="zh-CN"/>
        </w:rPr>
        <w:t>。</w:t>
      </w:r>
      <w:r>
        <w:rPr>
          <w:rFonts w:hint="default" w:ascii="Times New Roman" w:hAnsi="Times New Roman" w:cs="Times New Roman"/>
          <w:color w:val="auto"/>
          <w:lang w:eastAsia="zh-CN"/>
        </w:rPr>
        <w:t>耕地是粮食安全的基石，是生态系统的基础，是农业农村发展的根基。牢固树立耕地保护意识，落实最严格的耕地保护措施，准确把握耕地保护</w:t>
      </w:r>
      <w:r>
        <w:rPr>
          <w:rFonts w:hint="default" w:ascii="Times New Roman" w:hAnsi="Times New Roman" w:cs="Times New Roman"/>
          <w:color w:val="auto"/>
          <w:lang w:val="en-US" w:eastAsia="zh-CN"/>
        </w:rPr>
        <w:t>的</w:t>
      </w:r>
      <w:r>
        <w:rPr>
          <w:rFonts w:hint="default" w:ascii="Times New Roman" w:hAnsi="Times New Roman" w:cs="Times New Roman"/>
          <w:color w:val="auto"/>
          <w:lang w:eastAsia="zh-CN"/>
        </w:rPr>
        <w:t>“量质并重、严格执法、系统推进、永续利用”等重大要求，坚持以高水平耕地保护支撑高质量发展，确保耕地保有量和永久基本农田保护面积不减少。严格开展耕地保护考核，</w:t>
      </w:r>
      <w:r>
        <w:rPr>
          <w:rFonts w:hint="default" w:ascii="Times New Roman" w:hAnsi="Times New Roman" w:cs="Times New Roman"/>
          <w:color w:val="auto"/>
          <w:lang w:val="en-US" w:eastAsia="zh-CN"/>
        </w:rPr>
        <w:t>加强耕地和永久基本农田保护、占补平衡、耕地恢复情况等工作考核</w:t>
      </w:r>
      <w:r>
        <w:rPr>
          <w:rFonts w:hint="default" w:ascii="Times New Roman" w:hAnsi="Times New Roman" w:cs="Times New Roman"/>
          <w:color w:val="auto"/>
          <w:lang w:eastAsia="zh-CN"/>
        </w:rPr>
        <w:t>。压实耕地保护</w:t>
      </w:r>
      <w:r>
        <w:rPr>
          <w:rFonts w:hint="default" w:ascii="Times New Roman" w:hAnsi="Times New Roman" w:cs="Times New Roman"/>
          <w:color w:val="auto"/>
          <w:lang w:val="en-US" w:eastAsia="zh-CN"/>
        </w:rPr>
        <w:t>多方</w:t>
      </w:r>
      <w:r>
        <w:rPr>
          <w:rFonts w:hint="default" w:ascii="Times New Roman" w:hAnsi="Times New Roman" w:cs="Times New Roman"/>
          <w:color w:val="auto"/>
          <w:lang w:eastAsia="zh-CN"/>
        </w:rPr>
        <w:t>责任，</w:t>
      </w:r>
      <w:r>
        <w:rPr>
          <w:rFonts w:hint="default" w:ascii="Times New Roman" w:hAnsi="Times New Roman" w:cs="Times New Roman"/>
          <w:color w:val="auto"/>
          <w:lang w:val="en-US" w:eastAsia="zh-CN"/>
        </w:rPr>
        <w:t>建立完善耕地保护日常动态巡查、责任考核等机制。</w:t>
      </w:r>
    </w:p>
    <w:p w14:paraId="67609DF9">
      <w:pPr>
        <w:pageBreakBefore w:val="0"/>
        <w:wordWrap/>
        <w:overflowPunct/>
        <w:topLinePunct w:val="0"/>
        <w:bidi w:val="0"/>
        <w:ind w:left="0" w:leftChars="0"/>
        <w:rPr>
          <w:rFonts w:hint="default" w:ascii="Times New Roman" w:hAnsi="Times New Roman" w:cs="Times New Roman"/>
          <w:color w:val="auto"/>
          <w:lang w:val="en-US" w:eastAsia="zh-CN"/>
        </w:rPr>
      </w:pPr>
      <w:bookmarkStart w:id="54" w:name="_Toc2065652335"/>
      <w:r>
        <w:rPr>
          <w:rFonts w:hint="default" w:ascii="Times New Roman" w:hAnsi="Times New Roman" w:cs="Times New Roman"/>
          <w:b/>
          <w:bCs/>
          <w:color w:val="auto"/>
          <w:lang w:val="en-US" w:eastAsia="zh-CN"/>
        </w:rPr>
        <w:t>切实加强耕地用途管制</w:t>
      </w:r>
      <w:bookmarkEnd w:id="52"/>
      <w:bookmarkEnd w:id="53"/>
      <w:bookmarkEnd w:id="54"/>
      <w:r>
        <w:rPr>
          <w:rFonts w:hint="default" w:ascii="Times New Roman" w:hAnsi="Times New Roman" w:cs="Times New Roman"/>
          <w:b/>
          <w:bCs/>
          <w:color w:val="auto"/>
          <w:lang w:val="en-US" w:eastAsia="zh-CN"/>
        </w:rPr>
        <w:t>。</w:t>
      </w:r>
      <w:r>
        <w:rPr>
          <w:rFonts w:hint="default" w:ascii="Times New Roman" w:hAnsi="Times New Roman" w:cs="Times New Roman"/>
          <w:color w:val="auto"/>
          <w:lang w:val="en-US" w:eastAsia="zh-CN"/>
        </w:rPr>
        <w:t>系统推进耕地保护工作，对水田实行严格保护，系统谋划、合理优化耕地资源空间布局，通过全域土地综合整治、高标准农田建设等，推进耕地和永久基本农田相对集中利用和集聚提升。坚持土地节约集约利用，从源头减少占用耕地，推动用地方式向存量挖潜转变。落实耕地利用优先顺序，持续整治“大棚房”、乱占耕地建房等问题，推进撂荒地复垦利用，严格控制耕地转为林地、草地、园地等其他农用地。不得擅自占用或者改变特殊保护永久基本农田的用途。动态更新永久基本农田储备区，落实永久基本农田优化调整机制。实行耕地总量动态平衡管理，落实“占一补一”措施，严格履行补充耕地主体责任。加强耕地变化日常监测，充分运用土地卫片、市级自然资源动态监测、区“国土卫士”智能监管等平台，以“零容忍”态度查处违法违规占用耕地行为，坚决遏制耕地“非农化”、防止“非粮化”。</w:t>
      </w:r>
    </w:p>
    <w:p w14:paraId="2EB257B8">
      <w:pPr>
        <w:keepNext w:val="0"/>
        <w:keepLines w:val="0"/>
        <w:pageBreakBefore w:val="0"/>
        <w:widowControl/>
        <w:kinsoku/>
        <w:wordWrap/>
        <w:overflowPunct/>
        <w:topLinePunct w:val="0"/>
        <w:autoSpaceDE/>
        <w:autoSpaceDN/>
        <w:bidi w:val="0"/>
        <w:adjustRightInd/>
        <w:snapToGrid/>
        <w:ind w:left="0" w:leftChars="0"/>
        <w:textAlignment w:val="auto"/>
        <w:rPr>
          <w:rFonts w:hint="default" w:ascii="Times New Roman" w:hAnsi="Times New Roman" w:cs="Times New Roman"/>
          <w:color w:val="auto"/>
          <w:lang w:val="en-US" w:eastAsia="zh-CN"/>
        </w:rPr>
      </w:pPr>
      <w:bookmarkStart w:id="55" w:name="_Toc1198156943"/>
      <w:r>
        <w:rPr>
          <w:rFonts w:hint="default" w:ascii="Times New Roman" w:hAnsi="Times New Roman" w:cs="Times New Roman"/>
          <w:b/>
          <w:bCs/>
          <w:color w:val="auto"/>
          <w:lang w:eastAsia="zh-CN"/>
        </w:rPr>
        <w:t>全力</w:t>
      </w:r>
      <w:r>
        <w:rPr>
          <w:rFonts w:hint="default" w:ascii="Times New Roman" w:hAnsi="Times New Roman" w:cs="Times New Roman"/>
          <w:b/>
          <w:bCs/>
          <w:color w:val="auto"/>
        </w:rPr>
        <w:t>提升</w:t>
      </w:r>
      <w:r>
        <w:rPr>
          <w:rFonts w:hint="default" w:ascii="Times New Roman" w:hAnsi="Times New Roman" w:cs="Times New Roman"/>
          <w:b/>
          <w:bCs/>
          <w:color w:val="auto"/>
          <w:lang w:eastAsia="zh-CN"/>
        </w:rPr>
        <w:t>现有</w:t>
      </w:r>
      <w:r>
        <w:rPr>
          <w:rFonts w:hint="default" w:ascii="Times New Roman" w:hAnsi="Times New Roman" w:cs="Times New Roman"/>
          <w:b/>
          <w:bCs/>
          <w:color w:val="auto"/>
        </w:rPr>
        <w:t>耕地质量</w:t>
      </w:r>
      <w:bookmarkEnd w:id="55"/>
      <w:r>
        <w:rPr>
          <w:rFonts w:hint="default" w:ascii="Times New Roman" w:hAnsi="Times New Roman" w:cs="Times New Roman"/>
          <w:b/>
          <w:bCs/>
          <w:color w:val="auto"/>
          <w:lang w:eastAsia="zh-CN"/>
        </w:rPr>
        <w:t>。</w:t>
      </w:r>
      <w:r>
        <w:rPr>
          <w:rFonts w:hint="default" w:ascii="Times New Roman" w:hAnsi="Times New Roman" w:cs="Times New Roman"/>
          <w:color w:val="auto"/>
          <w:lang w:val="en-US" w:eastAsia="zh-CN"/>
        </w:rPr>
        <w:t>建立耕地质量建设保护机制，加强耕地质量调查监测与评价能力建设，及时准确掌握耕地质量动态变化状况。大力实施有机质提升行动，积极推进绿色种养循环，科学组织耕地轮作换茬，推广应用促进土壤有机质提升的新产品、新技术、新模式、新装备。切实加强新增耕地后续利用，加强补充耕地后期管护与再评价，持续监测补充耕地利用。落实后续培肥管护责任，持续熟化土壤、培肥地力、提升质量，确保新增耕地长期稳定利用。健全耕地数量、质量、生态“三位一体”保护体系，聚焦“一块田、四类地”</w:t>
      </w:r>
      <w:r>
        <w:rPr>
          <w:rFonts w:hint="default" w:ascii="Times New Roman" w:hAnsi="Times New Roman" w:cs="Times New Roman"/>
          <w:color w:val="auto"/>
          <w:vertAlign w:val="superscript"/>
          <w:lang w:val="en-US" w:eastAsia="zh-CN"/>
        </w:rPr>
        <w:footnoteReference w:id="2"/>
      </w:r>
      <w:r>
        <w:rPr>
          <w:rFonts w:hint="default" w:ascii="Times New Roman" w:hAnsi="Times New Roman" w:cs="Times New Roman"/>
          <w:color w:val="auto"/>
          <w:lang w:val="en-US" w:eastAsia="zh-CN"/>
        </w:rPr>
        <w:t>，综合采取“改、培、保、建、控”</w:t>
      </w:r>
      <w:r>
        <w:rPr>
          <w:rFonts w:hint="default" w:ascii="Times New Roman" w:hAnsi="Times New Roman" w:cs="Times New Roman"/>
          <w:color w:val="auto"/>
          <w:vertAlign w:val="superscript"/>
          <w:lang w:val="en-US" w:eastAsia="zh-CN"/>
        </w:rPr>
        <w:footnoteReference w:id="3"/>
      </w:r>
      <w:r>
        <w:rPr>
          <w:rFonts w:hint="default" w:ascii="Times New Roman" w:hAnsi="Times New Roman" w:cs="Times New Roman"/>
          <w:color w:val="auto"/>
          <w:lang w:val="en-US" w:eastAsia="zh-CN"/>
        </w:rPr>
        <w:t>等措施，全面提升现有耕地质量等级水平，至2030年耕地质量等级达到4.85。</w:t>
      </w:r>
    </w:p>
    <w:p w14:paraId="4C832885">
      <w:pPr>
        <w:pStyle w:val="4"/>
        <w:pageBreakBefore w:val="0"/>
        <w:wordWrap/>
        <w:overflowPunct/>
        <w:topLinePunct w:val="0"/>
        <w:bidi w:val="0"/>
        <w:ind w:left="0" w:leftChars="0"/>
        <w:rPr>
          <w:rFonts w:hint="default" w:ascii="Times New Roman" w:hAnsi="Times New Roman" w:cs="Times New Roman"/>
          <w:color w:val="auto"/>
          <w:lang w:eastAsia="zh-CN"/>
        </w:rPr>
      </w:pPr>
      <w:bookmarkStart w:id="56" w:name="_Toc1590522652"/>
      <w:bookmarkStart w:id="57" w:name="_Toc567360743"/>
      <w:bookmarkStart w:id="58" w:name="_Toc13743"/>
      <w:r>
        <w:rPr>
          <w:rFonts w:hint="default" w:ascii="Times New Roman" w:hAnsi="Times New Roman" w:cs="Times New Roman"/>
          <w:color w:val="auto"/>
          <w:lang w:val="en-US" w:eastAsia="zh-CN"/>
        </w:rPr>
        <w:t>（六）</w:t>
      </w:r>
      <w:r>
        <w:rPr>
          <w:rFonts w:hint="default" w:ascii="Times New Roman" w:hAnsi="Times New Roman" w:cs="Times New Roman"/>
          <w:color w:val="auto"/>
          <w:lang w:eastAsia="zh-CN"/>
        </w:rPr>
        <w:t>持续推进</w:t>
      </w:r>
      <w:r>
        <w:rPr>
          <w:rFonts w:hint="default" w:ascii="Times New Roman" w:hAnsi="Times New Roman" w:cs="Times New Roman"/>
          <w:color w:val="auto"/>
        </w:rPr>
        <w:t>高标准农田</w:t>
      </w:r>
      <w:bookmarkEnd w:id="56"/>
      <w:r>
        <w:rPr>
          <w:rFonts w:hint="default" w:ascii="Times New Roman" w:hAnsi="Times New Roman" w:cs="Times New Roman"/>
          <w:color w:val="auto"/>
          <w:lang w:eastAsia="zh-CN"/>
        </w:rPr>
        <w:t>建设</w:t>
      </w:r>
      <w:bookmarkEnd w:id="57"/>
      <w:bookmarkEnd w:id="58"/>
    </w:p>
    <w:p w14:paraId="2C4EE0F4">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lang w:val="en-US" w:eastAsia="zh-CN"/>
        </w:rPr>
        <w:t>逐步提升高标准农田面积比例。</w:t>
      </w:r>
      <w:r>
        <w:rPr>
          <w:rFonts w:hint="default" w:ascii="Times New Roman" w:hAnsi="Times New Roman" w:cs="Times New Roman"/>
          <w:color w:val="auto"/>
          <w:lang w:val="en-US" w:eastAsia="zh-CN"/>
        </w:rPr>
        <w:t>深入实施藏粮于地、藏粮于技战略，以提高粮食和重要农产品生产产能为首要任务，进一步完善高标准农田建设、验收、管护机制，围绕将具备条件的永久基本农田全部建成高标准农田的目标，优化建设布局，加大投入力度，统筹开展“田、土、水、路、林、电、技、管”综合治理，做到新建与改造提升并重、数量与质量并重、建设与管护并重，打造一批集中连片、旱涝保收、宜机作业、节水高效、高产稳产、生态友好的规模化良田，进一步夯实粮食安全根基。统筹规划、同步实施高效节水灌溉。“十五五”期间新建</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改造提升8.7万亩高标准农田，面积在永久基本农田中的占比提升至88%以上。</w:t>
      </w:r>
    </w:p>
    <w:p w14:paraId="788C75DC">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lang w:val="en-US" w:eastAsia="zh-CN"/>
        </w:rPr>
        <w:t>实现农田建设提档升级。</w:t>
      </w:r>
      <w:r>
        <w:rPr>
          <w:rFonts w:hint="default" w:ascii="Times New Roman" w:hAnsi="Times New Roman" w:cs="Times New Roman"/>
          <w:color w:val="auto"/>
          <w:lang w:val="en-US" w:eastAsia="zh-CN"/>
        </w:rPr>
        <w:t>以“一平两通三提升”</w:t>
      </w:r>
      <w:r>
        <w:rPr>
          <w:rFonts w:hint="default" w:ascii="Times New Roman" w:hAnsi="Times New Roman" w:cs="Times New Roman"/>
          <w:color w:val="auto"/>
          <w:vertAlign w:val="superscript"/>
          <w:lang w:val="en-US" w:eastAsia="zh-CN"/>
        </w:rPr>
        <w:footnoteReference w:id="4"/>
      </w:r>
      <w:r>
        <w:rPr>
          <w:rFonts w:hint="default" w:ascii="Times New Roman" w:hAnsi="Times New Roman" w:cs="Times New Roman"/>
          <w:color w:val="auto"/>
          <w:lang w:val="en-US" w:eastAsia="zh-CN"/>
        </w:rPr>
        <w:t>为基本标准，进一步巩固全国整区域推进高标准农田建设试点成果，大力推进高标准农田建设“四化同步”</w:t>
      </w:r>
      <w:r>
        <w:rPr>
          <w:rFonts w:hint="default" w:ascii="Times New Roman" w:hAnsi="Times New Roman" w:cs="Times New Roman"/>
          <w:color w:val="auto"/>
          <w:vertAlign w:val="superscript"/>
          <w:lang w:val="en-US" w:eastAsia="zh-CN"/>
        </w:rPr>
        <w:footnoteReference w:id="5"/>
      </w:r>
      <w:r>
        <w:rPr>
          <w:rFonts w:hint="default" w:ascii="Times New Roman" w:hAnsi="Times New Roman" w:cs="Times New Roman"/>
          <w:color w:val="auto"/>
          <w:lang w:val="en-US" w:eastAsia="zh-CN"/>
        </w:rPr>
        <w:t>。持续推进“先规划后建设、先平整再配套”的建设机制，落实好统一规划布局、统一建设标准、统一组织实施、统一验收考核、统一上图入库“五统一”要求。大力实施“耕地提质、优质精品、生态优先、田美乡村、智慧农业、高效节水、宜机化改造、精准管护、效益提升”等九大工程，进一步完善农田基础生产设施配套，补齐农田基础设施短板，实现农田建设提档升级。</w:t>
      </w:r>
    </w:p>
    <w:p w14:paraId="48002A73">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lang w:val="en-US" w:eastAsia="zh-CN"/>
        </w:rPr>
        <w:t>加强高标准农田监管。</w:t>
      </w:r>
      <w:r>
        <w:rPr>
          <w:rFonts w:hint="default" w:ascii="Times New Roman" w:hAnsi="Times New Roman" w:cs="Times New Roman"/>
          <w:color w:val="auto"/>
          <w:lang w:val="en-US" w:eastAsia="zh-CN"/>
        </w:rPr>
        <w:t>坚持“质量第一、量质并举”，落实好项目实施、工程质量、资金使用、运营管护等主体责任。进一步规范项目建设程序，严格落实项目法人责任制、招标投标制、工程监理制、合同管理制、项目公示制，落实高标准农田建设项目主体项目负责人质量终身责任追究制。落实工程质量管理属地责任，严格勘察、设计、施工、监理等参建单位资质条件，严把选址立项、规划设计、招标投标、原材料、施工、验收等各环节，常态化开展监督检查。实行高标准农田建设项目集中建设管理，全流程加强建设管理。坚持“谁使用、谁管护，谁收益、谁管护”原则，规范高标准农田区域土地流转行为，建立一支相对稳定的建设管护队伍，多举措强化建后管护。突出工程质量全生命周期管护，建立健全“区级监管、区镇（街道）主体、村级落实、使用者管护、受益者参与”的工程管护机制，鼓励有条件的区镇（街道）拓宽管护渠道和管护模式，完善“保险+监理+服务”专业化管护，探索开展工程质量责任保险试点</w:t>
      </w:r>
      <w:r>
        <w:rPr>
          <w:rFonts w:hint="default" w:ascii="Times New Roman" w:hAnsi="Times New Roman" w:cs="Times New Roman"/>
          <w:color w:val="auto"/>
        </w:rPr>
        <w:t>。</w:t>
      </w:r>
    </w:p>
    <w:p w14:paraId="3AA5E4A7">
      <w:pPr>
        <w:pStyle w:val="4"/>
        <w:pageBreakBefore w:val="0"/>
        <w:wordWrap/>
        <w:overflowPunct/>
        <w:topLinePunct w:val="0"/>
        <w:bidi w:val="0"/>
        <w:ind w:left="0" w:leftChars="0"/>
        <w:rPr>
          <w:rFonts w:hint="default" w:ascii="Times New Roman" w:hAnsi="Times New Roman" w:cs="Times New Roman"/>
          <w:color w:val="auto"/>
        </w:rPr>
      </w:pPr>
      <w:bookmarkStart w:id="59" w:name="_Toc28767"/>
      <w:bookmarkStart w:id="60" w:name="_Toc1467186158"/>
      <w:bookmarkStart w:id="61" w:name="_Toc804614921"/>
      <w:r>
        <w:rPr>
          <w:rFonts w:hint="default" w:ascii="Times New Roman" w:hAnsi="Times New Roman" w:cs="Times New Roman"/>
          <w:color w:val="auto"/>
        </w:rPr>
        <w:t>（</w:t>
      </w:r>
      <w:r>
        <w:rPr>
          <w:rFonts w:hint="default" w:ascii="Times New Roman" w:hAnsi="Times New Roman" w:cs="Times New Roman"/>
          <w:color w:val="auto"/>
          <w:lang w:val="en-US" w:eastAsia="zh-CN"/>
        </w:rPr>
        <w:t>七</w:t>
      </w:r>
      <w:r>
        <w:rPr>
          <w:rFonts w:hint="default" w:ascii="Times New Roman" w:hAnsi="Times New Roman" w:cs="Times New Roman"/>
          <w:color w:val="auto"/>
        </w:rPr>
        <w:t>）打造灌区农田水利配套体系</w:t>
      </w:r>
      <w:bookmarkEnd w:id="59"/>
      <w:bookmarkEnd w:id="60"/>
      <w:bookmarkEnd w:id="61"/>
    </w:p>
    <w:p w14:paraId="4552E104">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按照全面规划、分年实施的原则，围绕“提升供水能力、确保骨干供排水渠（沟）系畅通”的要求，对基础设施薄弱的灌区进行节水配套与达标改造，对有一定基础的灌区全面推进灌区现代化改造，建设配套齐全的骨干灌排工程体系，推广应用先进的灌区供水技术，逐步建成良性供水服务体系，实现灌区用水调度与监管设施提档升级，推动节水灌区、生态灌区建设，打造“节水高效、设施完善、管理科学、生态良好”的现代灌区。“十五五”期间以中型灌区为重点，规划实施悦来灌区、余东灌区、正余灌区等3个中型灌区续建配套及现代化改造工程，推进水网体系与灌区渠系、田间配套工程和小微型水源工程有机衔接，完善灌区水利基础设施，增强骨干渠系输配水能力，改善沟渠生态环境，提高灌区管理水平，提高灌区水资源配置能力。</w:t>
      </w:r>
    </w:p>
    <w:p w14:paraId="46310ECC">
      <w:pPr>
        <w:pStyle w:val="3"/>
        <w:keepNext w:val="0"/>
        <w:keepLines w:val="0"/>
        <w:pageBreakBefore w:val="0"/>
        <w:widowControl w:val="0"/>
        <w:kinsoku/>
        <w:wordWrap/>
        <w:overflowPunct/>
        <w:topLinePunct w:val="0"/>
        <w:autoSpaceDE/>
        <w:autoSpaceDN/>
        <w:bidi w:val="0"/>
        <w:adjustRightInd/>
        <w:snapToGrid/>
        <w:ind w:left="0" w:leftChars="0"/>
        <w:textAlignment w:val="auto"/>
        <w:rPr>
          <w:rFonts w:hint="default" w:ascii="Times New Roman" w:hAnsi="Times New Roman" w:eastAsia="黑体" w:cs="Times New Roman"/>
          <w:color w:val="auto"/>
          <w:lang w:eastAsia="zh-CN"/>
        </w:rPr>
      </w:pPr>
      <w:bookmarkStart w:id="62" w:name="_Toc1365118691"/>
      <w:bookmarkStart w:id="63" w:name="_Toc458452088"/>
      <w:bookmarkStart w:id="64" w:name="_Toc20746"/>
      <w:r>
        <w:rPr>
          <w:rFonts w:hint="default" w:ascii="Times New Roman" w:hAnsi="Times New Roman" w:cs="Times New Roman"/>
          <w:color w:val="auto"/>
        </w:rPr>
        <w:t>二、</w:t>
      </w:r>
      <w:r>
        <w:rPr>
          <w:rFonts w:hint="default" w:ascii="Times New Roman" w:hAnsi="Times New Roman" w:cs="Times New Roman"/>
          <w:color w:val="auto"/>
          <w:lang w:eastAsia="zh-CN"/>
        </w:rPr>
        <w:t>推动</w:t>
      </w:r>
      <w:r>
        <w:rPr>
          <w:rFonts w:hint="default" w:ascii="Times New Roman" w:hAnsi="Times New Roman" w:cs="Times New Roman"/>
          <w:color w:val="auto"/>
        </w:rPr>
        <w:t>乡村产业</w:t>
      </w:r>
      <w:r>
        <w:rPr>
          <w:rFonts w:hint="default" w:ascii="Times New Roman" w:hAnsi="Times New Roman" w:cs="Times New Roman"/>
          <w:color w:val="auto"/>
          <w:lang w:eastAsia="zh-CN"/>
        </w:rPr>
        <w:t>提质增效</w:t>
      </w:r>
      <w:r>
        <w:rPr>
          <w:rFonts w:hint="default" w:ascii="Times New Roman" w:hAnsi="Times New Roman" w:cs="Times New Roman"/>
          <w:color w:val="auto"/>
        </w:rPr>
        <w:t xml:space="preserve"> </w:t>
      </w:r>
      <w:bookmarkEnd w:id="62"/>
      <w:r>
        <w:rPr>
          <w:rFonts w:hint="default" w:ascii="Times New Roman" w:hAnsi="Times New Roman" w:cs="Times New Roman"/>
          <w:color w:val="auto"/>
          <w:lang w:eastAsia="zh-CN"/>
        </w:rPr>
        <w:t>构建现代产业体系</w:t>
      </w:r>
      <w:bookmarkEnd w:id="63"/>
      <w:bookmarkEnd w:id="64"/>
    </w:p>
    <w:p w14:paraId="301180C0">
      <w:pPr>
        <w:keepNext w:val="0"/>
        <w:keepLines w:val="0"/>
        <w:pageBreakBefore w:val="0"/>
        <w:widowControl w:val="0"/>
        <w:kinsoku/>
        <w:wordWrap/>
        <w:overflowPunct/>
        <w:topLinePunct w:val="0"/>
        <w:autoSpaceDE/>
        <w:autoSpaceDN/>
        <w:bidi w:val="0"/>
        <w:adjustRightInd/>
        <w:snapToGrid/>
        <w:ind w:left="0" w:leftChars="0"/>
        <w:textAlignment w:val="auto"/>
        <w:rPr>
          <w:rFonts w:hint="default" w:ascii="Times New Roman" w:hAnsi="Times New Roman" w:cs="Times New Roman"/>
          <w:color w:val="auto"/>
          <w:lang w:val="en-US" w:eastAsia="zh-CN"/>
        </w:rPr>
      </w:pPr>
      <w:bookmarkStart w:id="65" w:name="_Toc1982038736"/>
      <w:r>
        <w:rPr>
          <w:rFonts w:hint="default" w:ascii="Times New Roman" w:hAnsi="Times New Roman" w:cs="Times New Roman"/>
          <w:color w:val="auto"/>
          <w:lang w:val="en-US" w:eastAsia="zh-CN"/>
        </w:rPr>
        <w:t>“十五五”期内立足乡村资源禀赋，以科技创新为驱动，从夯实产业基础、延伸产业链条、创新业态模式和打造品牌等多方面协同发力，建设</w:t>
      </w:r>
      <w:r>
        <w:rPr>
          <w:rFonts w:hint="eastAsia" w:ascii="Times New Roman" w:hAnsi="Times New Roman" w:cs="Times New Roman"/>
          <w:color w:val="auto"/>
          <w:lang w:val="en-US" w:eastAsia="zh-CN"/>
        </w:rPr>
        <w:t>绿色蔬果、海门肉鸡等</w:t>
      </w:r>
      <w:r>
        <w:rPr>
          <w:rFonts w:hint="default" w:ascii="Times New Roman" w:hAnsi="Times New Roman" w:cs="Times New Roman"/>
          <w:color w:val="auto"/>
          <w:lang w:val="en-US" w:eastAsia="zh-CN"/>
        </w:rPr>
        <w:t>农业全产业链，实施“产业融合发展强链”等工程项目，推动乡村产业提质增效，逐步构建现代乡村产业体系。</w:t>
      </w:r>
    </w:p>
    <w:p w14:paraId="3933BF89">
      <w:pPr>
        <w:pStyle w:val="4"/>
        <w:pageBreakBefore w:val="0"/>
        <w:wordWrap/>
        <w:overflowPunct/>
        <w:topLinePunct w:val="0"/>
        <w:bidi w:val="0"/>
        <w:ind w:left="0" w:leftChars="0"/>
        <w:rPr>
          <w:rFonts w:hint="default" w:ascii="Times New Roman" w:hAnsi="Times New Roman" w:cs="Times New Roman"/>
          <w:color w:val="auto"/>
        </w:rPr>
      </w:pPr>
      <w:bookmarkStart w:id="66" w:name="_Toc2439"/>
      <w:bookmarkStart w:id="67" w:name="_Toc32917580"/>
      <w:r>
        <w:rPr>
          <w:rFonts w:hint="default" w:ascii="Times New Roman" w:hAnsi="Times New Roman" w:cs="Times New Roman"/>
          <w:color w:val="auto"/>
        </w:rPr>
        <w:t>（一）</w:t>
      </w:r>
      <w:r>
        <w:rPr>
          <w:rFonts w:hint="default" w:ascii="Times New Roman" w:hAnsi="Times New Roman" w:cs="Times New Roman"/>
          <w:color w:val="auto"/>
          <w:lang w:eastAsia="zh-CN"/>
        </w:rPr>
        <w:t>优化</w:t>
      </w:r>
      <w:r>
        <w:rPr>
          <w:rFonts w:hint="default" w:ascii="Times New Roman" w:hAnsi="Times New Roman" w:cs="Times New Roman"/>
          <w:color w:val="auto"/>
        </w:rPr>
        <w:t>种植</w:t>
      </w:r>
      <w:r>
        <w:rPr>
          <w:rFonts w:hint="default" w:ascii="Times New Roman" w:hAnsi="Times New Roman" w:cs="Times New Roman"/>
          <w:color w:val="auto"/>
          <w:lang w:eastAsia="zh-CN"/>
        </w:rPr>
        <w:t>结构与区域</w:t>
      </w:r>
      <w:r>
        <w:rPr>
          <w:rFonts w:hint="default" w:ascii="Times New Roman" w:hAnsi="Times New Roman" w:cs="Times New Roman"/>
          <w:color w:val="auto"/>
        </w:rPr>
        <w:t>布局</w:t>
      </w:r>
      <w:bookmarkEnd w:id="65"/>
      <w:bookmarkEnd w:id="66"/>
      <w:bookmarkEnd w:id="67"/>
    </w:p>
    <w:p w14:paraId="05C9DCD8">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结合现有产业发展现状，</w:t>
      </w:r>
      <w:r>
        <w:rPr>
          <w:rFonts w:hint="default" w:ascii="Times New Roman" w:hAnsi="Times New Roman" w:cs="Times New Roman"/>
          <w:color w:val="auto"/>
          <w:lang w:eastAsia="zh-CN"/>
        </w:rPr>
        <w:t>进一步调优种养结构，优化种养布局，确保</w:t>
      </w:r>
      <w:r>
        <w:rPr>
          <w:rFonts w:hint="default" w:ascii="Times New Roman" w:hAnsi="Times New Roman" w:cs="Times New Roman"/>
          <w:color w:val="auto"/>
        </w:rPr>
        <w:t>粮食</w:t>
      </w:r>
      <w:r>
        <w:rPr>
          <w:rFonts w:hint="default" w:ascii="Times New Roman" w:hAnsi="Times New Roman" w:cs="Times New Roman"/>
          <w:color w:val="auto"/>
          <w:lang w:eastAsia="zh-CN"/>
        </w:rPr>
        <w:t>安全</w:t>
      </w:r>
      <w:r>
        <w:rPr>
          <w:rFonts w:hint="default" w:ascii="Times New Roman" w:hAnsi="Times New Roman" w:cs="Times New Roman"/>
          <w:color w:val="auto"/>
        </w:rPr>
        <w:t>生产</w:t>
      </w:r>
      <w:r>
        <w:rPr>
          <w:rFonts w:hint="default" w:ascii="Times New Roman" w:hAnsi="Times New Roman" w:cs="Times New Roman"/>
          <w:color w:val="auto"/>
          <w:lang w:eastAsia="zh-CN"/>
        </w:rPr>
        <w:t>和蔬</w:t>
      </w:r>
      <w:r>
        <w:rPr>
          <w:rFonts w:hint="default" w:ascii="Times New Roman" w:hAnsi="Times New Roman" w:cs="Times New Roman"/>
          <w:color w:val="auto"/>
          <w:lang w:val="en-US" w:eastAsia="zh-CN"/>
        </w:rPr>
        <w:t>菜水果</w:t>
      </w:r>
      <w:r>
        <w:rPr>
          <w:rFonts w:hint="default" w:ascii="Times New Roman" w:hAnsi="Times New Roman" w:cs="Times New Roman"/>
          <w:color w:val="auto"/>
          <w:lang w:eastAsia="zh-CN"/>
        </w:rPr>
        <w:t>等重要农产品稳产保供；</w:t>
      </w:r>
      <w:r>
        <w:rPr>
          <w:rFonts w:hint="default" w:ascii="Times New Roman" w:hAnsi="Times New Roman" w:cs="Times New Roman"/>
          <w:color w:val="auto"/>
          <w:lang w:val="en-US" w:eastAsia="zh-CN"/>
        </w:rPr>
        <w:t>根据</w:t>
      </w:r>
      <w:r>
        <w:rPr>
          <w:rFonts w:hint="default" w:ascii="Times New Roman" w:hAnsi="Times New Roman" w:cs="Times New Roman"/>
          <w:color w:val="auto"/>
        </w:rPr>
        <w:t>东部、西部、北部区域产业特点，</w:t>
      </w:r>
      <w:r>
        <w:rPr>
          <w:rFonts w:hint="default" w:ascii="Times New Roman" w:hAnsi="Times New Roman" w:cs="Times New Roman"/>
          <w:color w:val="auto"/>
          <w:lang w:eastAsia="zh-CN"/>
        </w:rPr>
        <w:t>科学布局</w:t>
      </w:r>
      <w:r>
        <w:rPr>
          <w:rFonts w:hint="default" w:ascii="Times New Roman" w:hAnsi="Times New Roman" w:cs="Times New Roman"/>
          <w:color w:val="auto"/>
          <w:lang w:val="en-US" w:eastAsia="zh-CN"/>
        </w:rPr>
        <w:t>平台</w:t>
      </w:r>
      <w:r>
        <w:rPr>
          <w:rFonts w:hint="default" w:ascii="Times New Roman" w:hAnsi="Times New Roman" w:cs="Times New Roman"/>
          <w:color w:val="auto"/>
          <w:lang w:eastAsia="zh-CN"/>
        </w:rPr>
        <w:t>基地，</w:t>
      </w:r>
      <w:r>
        <w:rPr>
          <w:rFonts w:hint="default" w:ascii="Times New Roman" w:hAnsi="Times New Roman" w:cs="Times New Roman"/>
          <w:color w:val="auto"/>
        </w:rPr>
        <w:t>集中示范新品种、新技术、新装备与新模式。</w:t>
      </w:r>
    </w:p>
    <w:p w14:paraId="363AF595">
      <w:pPr>
        <w:pageBreakBefore w:val="0"/>
        <w:wordWrap/>
        <w:overflowPunct/>
        <w:topLinePunct w:val="0"/>
        <w:bidi w:val="0"/>
        <w:ind w:left="0" w:leftChars="0"/>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color w:val="auto"/>
        </w:rPr>
        <w:t>图1为种植业和养殖业的布局</w:t>
      </w:r>
      <w:r>
        <w:rPr>
          <w:rFonts w:hint="default" w:ascii="Times New Roman" w:hAnsi="Times New Roman" w:cs="Times New Roman"/>
          <w:color w:val="auto"/>
          <w:lang w:val="en-US" w:eastAsia="zh-CN"/>
        </w:rPr>
        <w:t>图，图中</w:t>
      </w:r>
      <w:r>
        <w:rPr>
          <w:rFonts w:hint="default" w:ascii="Times New Roman" w:hAnsi="Times New Roman" w:eastAsia="仿宋_GB2312" w:cs="Times New Roman"/>
          <w:color w:val="auto"/>
          <w:sz w:val="32"/>
          <w:szCs w:val="32"/>
          <w:lang w:val="en-US" w:eastAsia="zh-CN"/>
        </w:rPr>
        <w:t>种植业布局为东、西和北部三大</w:t>
      </w:r>
      <w:r>
        <w:rPr>
          <w:rFonts w:hint="default" w:ascii="Times New Roman" w:hAnsi="Times New Roman" w:cs="Times New Roman"/>
          <w:color w:val="auto"/>
          <w:sz w:val="32"/>
          <w:szCs w:val="32"/>
          <w:lang w:val="en-US" w:eastAsia="zh-CN"/>
        </w:rPr>
        <w:t>区域</w:t>
      </w:r>
      <w:r>
        <w:rPr>
          <w:rFonts w:hint="default" w:ascii="Times New Roman" w:hAnsi="Times New Roman" w:eastAsia="仿宋_GB2312" w:cs="Times New Roman"/>
          <w:color w:val="auto"/>
          <w:sz w:val="32"/>
          <w:szCs w:val="32"/>
          <w:lang w:val="en-US" w:eastAsia="zh-CN"/>
        </w:rPr>
        <w:t>，东部区域以打造海门“东部粮仓”为目标，依托南通市级</w:t>
      </w:r>
      <w:r>
        <w:rPr>
          <w:rFonts w:hint="default" w:ascii="Times New Roman" w:hAnsi="Times New Roman" w:cs="Times New Roman"/>
          <w:color w:val="auto"/>
          <w:sz w:val="32"/>
          <w:szCs w:val="32"/>
          <w:lang w:val="en-US" w:eastAsia="zh-CN"/>
        </w:rPr>
        <w:t>现代农业</w:t>
      </w:r>
      <w:r>
        <w:rPr>
          <w:rFonts w:hint="default" w:ascii="Times New Roman" w:hAnsi="Times New Roman" w:eastAsia="仿宋_GB2312" w:cs="Times New Roman"/>
          <w:color w:val="auto"/>
          <w:sz w:val="32"/>
          <w:szCs w:val="32"/>
          <w:lang w:val="en-US" w:eastAsia="zh-CN"/>
        </w:rPr>
        <w:t>产业园，</w:t>
      </w:r>
      <w:r>
        <w:rPr>
          <w:rFonts w:hint="default" w:ascii="Times New Roman" w:hAnsi="Times New Roman" w:cs="Times New Roman"/>
          <w:color w:val="auto"/>
          <w:sz w:val="32"/>
          <w:szCs w:val="32"/>
          <w:lang w:val="en-US" w:eastAsia="zh-CN"/>
        </w:rPr>
        <w:t>打造</w:t>
      </w:r>
      <w:r>
        <w:rPr>
          <w:rFonts w:hint="default" w:ascii="Times New Roman" w:hAnsi="Times New Roman" w:eastAsia="仿宋_GB2312" w:cs="Times New Roman"/>
          <w:color w:val="auto"/>
          <w:sz w:val="32"/>
          <w:szCs w:val="32"/>
          <w:lang w:val="en-US" w:eastAsia="zh-CN"/>
        </w:rPr>
        <w:t>优质稻麦、特粮特经和种苗繁育、出口草莓为</w:t>
      </w:r>
      <w:r>
        <w:rPr>
          <w:rFonts w:hint="default" w:ascii="Times New Roman" w:hAnsi="Times New Roman" w:cs="Times New Roman"/>
          <w:color w:val="auto"/>
          <w:sz w:val="32"/>
          <w:szCs w:val="32"/>
          <w:lang w:val="en-US" w:eastAsia="zh-CN"/>
        </w:rPr>
        <w:t>悦来镇的</w:t>
      </w:r>
      <w:r>
        <w:rPr>
          <w:rFonts w:hint="default" w:ascii="Times New Roman" w:hAnsi="Times New Roman" w:eastAsia="仿宋_GB2312" w:cs="Times New Roman"/>
          <w:color w:val="auto"/>
          <w:sz w:val="32"/>
          <w:szCs w:val="32"/>
          <w:lang w:val="en-US" w:eastAsia="zh-CN"/>
        </w:rPr>
        <w:t>主导产业，建立高质高效生产科技示范基地，</w:t>
      </w:r>
      <w:r>
        <w:rPr>
          <w:rFonts w:hint="default" w:ascii="Times New Roman" w:hAnsi="Times New Roman" w:cs="Times New Roman"/>
          <w:color w:val="auto"/>
          <w:sz w:val="32"/>
          <w:szCs w:val="32"/>
          <w:lang w:val="en-US" w:eastAsia="zh-CN"/>
        </w:rPr>
        <w:t>辐射</w:t>
      </w:r>
      <w:r>
        <w:rPr>
          <w:rFonts w:hint="default" w:ascii="Times New Roman" w:hAnsi="Times New Roman" w:eastAsia="仿宋_GB2312" w:cs="Times New Roman"/>
          <w:color w:val="auto"/>
          <w:sz w:val="32"/>
          <w:szCs w:val="32"/>
          <w:lang w:val="en-US" w:eastAsia="zh-CN"/>
        </w:rPr>
        <w:t>余东镇、海永镇、海门高新区</w:t>
      </w:r>
      <w:r>
        <w:rPr>
          <w:rFonts w:hint="default" w:ascii="Times New Roman" w:hAnsi="Times New Roman" w:cs="Times New Roman"/>
          <w:color w:val="auto"/>
          <w:sz w:val="32"/>
          <w:szCs w:val="32"/>
          <w:lang w:val="en-US" w:eastAsia="zh-CN"/>
        </w:rPr>
        <w:t>三个区镇</w:t>
      </w:r>
      <w:r>
        <w:rPr>
          <w:rFonts w:hint="default" w:ascii="Times New Roman" w:hAnsi="Times New Roman" w:eastAsia="仿宋_GB2312" w:cs="Times New Roman"/>
          <w:color w:val="auto"/>
          <w:sz w:val="32"/>
          <w:szCs w:val="32"/>
          <w:lang w:val="en-US" w:eastAsia="zh-CN"/>
        </w:rPr>
        <w:t>；西部以壮大地方种质资源、特色</w:t>
      </w:r>
      <w:r>
        <w:rPr>
          <w:rFonts w:hint="default" w:ascii="Times New Roman" w:hAnsi="Times New Roman" w:cs="Times New Roman"/>
          <w:color w:val="auto"/>
          <w:sz w:val="32"/>
          <w:szCs w:val="32"/>
          <w:lang w:val="en-US" w:eastAsia="zh-CN"/>
        </w:rPr>
        <w:t>果蔬园艺</w:t>
      </w:r>
      <w:r>
        <w:rPr>
          <w:rFonts w:hint="default" w:ascii="Times New Roman" w:hAnsi="Times New Roman" w:eastAsia="仿宋_GB2312" w:cs="Times New Roman"/>
          <w:color w:val="auto"/>
          <w:sz w:val="32"/>
          <w:szCs w:val="32"/>
          <w:lang w:val="en-US" w:eastAsia="zh-CN"/>
        </w:rPr>
        <w:t>为目标，以海蜜甜瓜、设施园艺为</w:t>
      </w:r>
      <w:r>
        <w:rPr>
          <w:rFonts w:hint="default" w:ascii="Times New Roman" w:hAnsi="Times New Roman" w:cs="Times New Roman"/>
          <w:color w:val="auto"/>
          <w:sz w:val="32"/>
          <w:szCs w:val="32"/>
          <w:lang w:val="en-US" w:eastAsia="zh-CN"/>
        </w:rPr>
        <w:t>该区域内的</w:t>
      </w:r>
      <w:r>
        <w:rPr>
          <w:rFonts w:hint="default" w:ascii="Times New Roman" w:hAnsi="Times New Roman" w:eastAsia="仿宋_GB2312" w:cs="Times New Roman"/>
          <w:color w:val="auto"/>
          <w:sz w:val="32"/>
          <w:szCs w:val="32"/>
          <w:lang w:val="en-US" w:eastAsia="zh-CN"/>
        </w:rPr>
        <w:t>主导产业，依托省级现代农业产业园、海门区农科所等阵地，建立农业新品种、新技术、新模式、新装备集成展示基地，</w:t>
      </w:r>
      <w:r>
        <w:rPr>
          <w:rFonts w:hint="default" w:ascii="Times New Roman" w:hAnsi="Times New Roman" w:cs="Times New Roman"/>
          <w:color w:val="auto"/>
          <w:sz w:val="32"/>
          <w:szCs w:val="32"/>
          <w:lang w:val="en-US" w:eastAsia="zh-CN"/>
        </w:rPr>
        <w:t>包括</w:t>
      </w:r>
      <w:r>
        <w:rPr>
          <w:rFonts w:hint="default" w:ascii="Times New Roman" w:hAnsi="Times New Roman" w:eastAsia="仿宋_GB2312" w:cs="Times New Roman"/>
          <w:color w:val="auto"/>
          <w:sz w:val="32"/>
          <w:szCs w:val="32"/>
          <w:lang w:val="en-US" w:eastAsia="zh-CN"/>
        </w:rPr>
        <w:t>三星镇、常乐镇、海门街道、三厂街道；北部区域以打造</w:t>
      </w:r>
      <w:r>
        <w:rPr>
          <w:rFonts w:hint="default" w:ascii="Times New Roman" w:hAnsi="Times New Roman" w:cs="Times New Roman"/>
          <w:color w:val="auto"/>
          <w:sz w:val="32"/>
          <w:szCs w:val="32"/>
          <w:lang w:val="en-US" w:eastAsia="zh-CN"/>
        </w:rPr>
        <w:t>一二三产业融合</w:t>
      </w:r>
      <w:r>
        <w:rPr>
          <w:rFonts w:hint="default" w:ascii="Times New Roman" w:hAnsi="Times New Roman" w:eastAsia="仿宋_GB2312" w:cs="Times New Roman"/>
          <w:color w:val="auto"/>
          <w:sz w:val="32"/>
          <w:szCs w:val="32"/>
          <w:lang w:val="en-US" w:eastAsia="zh-CN"/>
        </w:rPr>
        <w:t>发展为目标，依托国家农村综合性改革试点、国家农业产业强镇、省级“菜篮子”保供基地，以</w:t>
      </w:r>
      <w:r>
        <w:rPr>
          <w:rFonts w:hint="default" w:ascii="Times New Roman" w:hAnsi="Times New Roman" w:cs="Times New Roman"/>
          <w:color w:val="auto"/>
          <w:sz w:val="32"/>
          <w:szCs w:val="32"/>
          <w:lang w:val="en-US" w:eastAsia="zh-CN"/>
        </w:rPr>
        <w:t>绿色</w:t>
      </w:r>
      <w:r>
        <w:rPr>
          <w:rFonts w:hint="default" w:ascii="Times New Roman" w:hAnsi="Times New Roman" w:eastAsia="仿宋_GB2312" w:cs="Times New Roman"/>
          <w:color w:val="auto"/>
          <w:sz w:val="32"/>
          <w:szCs w:val="32"/>
          <w:lang w:val="en-US" w:eastAsia="zh-CN"/>
        </w:rPr>
        <w:t>蔬</w:t>
      </w:r>
      <w:r>
        <w:rPr>
          <w:rFonts w:hint="default" w:ascii="Times New Roman" w:hAnsi="Times New Roman" w:cs="Times New Roman"/>
          <w:color w:val="auto"/>
          <w:sz w:val="32"/>
          <w:szCs w:val="32"/>
          <w:lang w:val="en-US" w:eastAsia="zh-CN"/>
        </w:rPr>
        <w:t>菜和水</w:t>
      </w:r>
      <w:r>
        <w:rPr>
          <w:rFonts w:hint="default" w:ascii="Times New Roman" w:hAnsi="Times New Roman" w:eastAsia="仿宋_GB2312" w:cs="Times New Roman"/>
          <w:color w:val="auto"/>
          <w:sz w:val="32"/>
          <w:szCs w:val="32"/>
          <w:lang w:val="en-US" w:eastAsia="zh-CN"/>
        </w:rPr>
        <w:t>果、优质稻麦为</w:t>
      </w:r>
      <w:r>
        <w:rPr>
          <w:rFonts w:hint="default" w:ascii="Times New Roman" w:hAnsi="Times New Roman" w:cs="Times New Roman"/>
          <w:color w:val="auto"/>
          <w:sz w:val="32"/>
          <w:szCs w:val="32"/>
          <w:lang w:val="en-US" w:eastAsia="zh-CN"/>
        </w:rPr>
        <w:t>本区域内的</w:t>
      </w:r>
      <w:r>
        <w:rPr>
          <w:rFonts w:hint="default" w:ascii="Times New Roman" w:hAnsi="Times New Roman" w:eastAsia="仿宋_GB2312" w:cs="Times New Roman"/>
          <w:color w:val="auto"/>
          <w:sz w:val="32"/>
          <w:szCs w:val="32"/>
          <w:lang w:val="en-US" w:eastAsia="zh-CN"/>
        </w:rPr>
        <w:t>主导产业，打造“四良”融合的现代智慧农业示范基地</w:t>
      </w:r>
      <w:r>
        <w:rPr>
          <w:rFonts w:hint="default" w:ascii="Times New Roman" w:hAnsi="Times New Roman" w:cs="Times New Roman"/>
          <w:color w:val="auto"/>
          <w:sz w:val="32"/>
          <w:szCs w:val="32"/>
          <w:lang w:val="en-US" w:eastAsia="zh-CN"/>
        </w:rPr>
        <w:t>包含</w:t>
      </w:r>
      <w:r>
        <w:rPr>
          <w:rFonts w:hint="default" w:ascii="Times New Roman" w:hAnsi="Times New Roman" w:eastAsia="仿宋_GB2312" w:cs="Times New Roman"/>
          <w:color w:val="auto"/>
          <w:sz w:val="32"/>
          <w:szCs w:val="32"/>
          <w:lang w:val="en-US" w:eastAsia="zh-CN"/>
        </w:rPr>
        <w:t>海门港经开区</w:t>
      </w:r>
      <w:r>
        <w:rPr>
          <w:rFonts w:hint="default" w:ascii="Times New Roman" w:hAnsi="Times New Roman" w:cs="Times New Roman"/>
          <w:color w:val="auto"/>
          <w:sz w:val="32"/>
          <w:szCs w:val="32"/>
          <w:lang w:val="en-US" w:eastAsia="zh-CN"/>
        </w:rPr>
        <w:t>（包场镇）</w:t>
      </w:r>
      <w:r>
        <w:rPr>
          <w:rFonts w:hint="default" w:ascii="Times New Roman" w:hAnsi="Times New Roman" w:eastAsia="仿宋_GB2312" w:cs="Times New Roman"/>
          <w:color w:val="auto"/>
          <w:sz w:val="32"/>
          <w:szCs w:val="32"/>
          <w:lang w:val="en-US" w:eastAsia="zh-CN"/>
        </w:rPr>
        <w:t>、正余镇、四甲镇</w:t>
      </w:r>
      <w:r>
        <w:rPr>
          <w:rFonts w:hint="default" w:ascii="Times New Roman" w:hAnsi="Times New Roman" w:cs="Times New Roman"/>
          <w:color w:val="auto"/>
          <w:sz w:val="32"/>
          <w:szCs w:val="32"/>
          <w:lang w:val="en-US" w:eastAsia="zh-CN"/>
        </w:rPr>
        <w:t>（图1）</w:t>
      </w:r>
      <w:r>
        <w:rPr>
          <w:rFonts w:hint="default" w:ascii="Times New Roman" w:hAnsi="Times New Roman" w:eastAsia="仿宋_GB2312" w:cs="Times New Roman"/>
          <w:color w:val="auto"/>
          <w:sz w:val="32"/>
          <w:szCs w:val="32"/>
          <w:lang w:val="en-US" w:eastAsia="zh-CN"/>
        </w:rPr>
        <w:t>。</w:t>
      </w:r>
    </w:p>
    <w:p w14:paraId="1FD6134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center"/>
        <w:rPr>
          <w:rFonts w:hint="default" w:ascii="Times New Roman" w:hAnsi="Times New Roman" w:cs="Times New Roman"/>
          <w:color w:val="auto"/>
        </w:rPr>
      </w:pPr>
    </w:p>
    <w:p w14:paraId="459DAEB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center"/>
        <w:rPr>
          <w:rFonts w:hint="default" w:ascii="Times New Roman" w:hAnsi="Times New Roman" w:cs="Times New Roman"/>
          <w:color w:val="auto"/>
        </w:rPr>
      </w:pPr>
      <w:r>
        <w:rPr>
          <w:rFonts w:hint="default" w:ascii="Times New Roman" w:hAnsi="Times New Roman" w:cs="Times New Roman"/>
          <w:color w:val="auto"/>
          <w:sz w:val="32"/>
        </w:rPr>
        <mc:AlternateContent>
          <mc:Choice Requires="wps">
            <w:drawing>
              <wp:anchor distT="0" distB="0" distL="114300" distR="114300" simplePos="0" relativeHeight="251661312" behindDoc="0" locked="0" layoutInCell="1" allowOverlap="1">
                <wp:simplePos x="0" y="0"/>
                <wp:positionH relativeFrom="column">
                  <wp:posOffset>4296410</wp:posOffset>
                </wp:positionH>
                <wp:positionV relativeFrom="paragraph">
                  <wp:posOffset>38100</wp:posOffset>
                </wp:positionV>
                <wp:extent cx="1268730" cy="3296920"/>
                <wp:effectExtent l="6350" t="6350" r="20320" b="24130"/>
                <wp:wrapNone/>
                <wp:docPr id="8" name="文本框 8"/>
                <wp:cNvGraphicFramePr/>
                <a:graphic xmlns:a="http://schemas.openxmlformats.org/drawingml/2006/main">
                  <a:graphicData uri="http://schemas.microsoft.com/office/word/2010/wordprocessingShape">
                    <wps:wsp>
                      <wps:cNvSpPr txBox="1"/>
                      <wps:spPr>
                        <a:xfrm>
                          <a:off x="0" y="0"/>
                          <a:ext cx="1268730" cy="32969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62680FB">
                            <w:pPr>
                              <w:keepNext w:val="0"/>
                              <w:keepLines w:val="0"/>
                              <w:pageBreakBefore w:val="0"/>
                              <w:widowControl/>
                              <w:kinsoku/>
                              <w:wordWrap/>
                              <w:overflowPunct/>
                              <w:topLinePunct w:val="0"/>
                              <w:bidi w:val="0"/>
                              <w:adjustRightInd/>
                              <w:snapToGrid/>
                              <w:spacing w:line="340" w:lineRule="exact"/>
                              <w:ind w:left="0" w:leftChars="0" w:firstLine="0" w:firstLineChars="0"/>
                              <w:textAlignment w:val="auto"/>
                              <w:rPr>
                                <w:rFonts w:hint="eastAsia" w:ascii="宋体" w:hAnsi="宋体" w:eastAsia="宋体" w:cs="宋体"/>
                                <w:sz w:val="24"/>
                                <w:szCs w:val="24"/>
                                <w:lang w:eastAsia="zh-CN"/>
                              </w:rPr>
                            </w:pPr>
                            <w:r>
                              <w:rPr>
                                <w:rFonts w:hint="eastAsia" w:ascii="宋体" w:hAnsi="宋体" w:eastAsia="宋体" w:cs="宋体"/>
                                <w:sz w:val="24"/>
                                <w:szCs w:val="24"/>
                              </w:rPr>
                              <w:t>图</w:t>
                            </w:r>
                            <w:r>
                              <w:rPr>
                                <w:rFonts w:hint="eastAsia" w:ascii="宋体" w:hAnsi="宋体" w:eastAsia="宋体" w:cs="宋体"/>
                                <w:sz w:val="24"/>
                                <w:szCs w:val="24"/>
                                <w:lang w:val="en-US" w:eastAsia="zh-CN"/>
                              </w:rPr>
                              <w:t>1</w:t>
                            </w:r>
                            <w:r>
                              <w:rPr>
                                <w:rFonts w:hint="eastAsia" w:ascii="宋体" w:hAnsi="宋体" w:eastAsia="宋体" w:cs="宋体"/>
                                <w:sz w:val="24"/>
                                <w:szCs w:val="24"/>
                              </w:rPr>
                              <w:t>中黄色区域表示</w:t>
                            </w:r>
                            <w:r>
                              <w:rPr>
                                <w:rFonts w:hint="eastAsia" w:ascii="宋体" w:hAnsi="宋体" w:eastAsia="宋体" w:cs="宋体"/>
                                <w:sz w:val="24"/>
                                <w:szCs w:val="24"/>
                                <w:lang w:val="en-US" w:eastAsia="zh-CN"/>
                              </w:rPr>
                              <w:t>东部粮仓</w:t>
                            </w:r>
                            <w:r>
                              <w:rPr>
                                <w:rFonts w:hint="eastAsia" w:ascii="宋体" w:hAnsi="宋体" w:eastAsia="宋体" w:cs="宋体"/>
                                <w:sz w:val="24"/>
                                <w:szCs w:val="24"/>
                              </w:rPr>
                              <w:drawing>
                                <wp:inline distT="0" distB="0" distL="114300" distR="114300">
                                  <wp:extent cx="243840" cy="259080"/>
                                  <wp:effectExtent l="0" t="0" r="10160" b="2032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9"/>
                                          <a:stretch>
                                            <a:fillRect/>
                                          </a:stretch>
                                        </pic:blipFill>
                                        <pic:spPr>
                                          <a:xfrm>
                                            <a:off x="0" y="0"/>
                                            <a:ext cx="243840" cy="259080"/>
                                          </a:xfrm>
                                          <a:prstGeom prst="rect">
                                            <a:avLst/>
                                          </a:prstGeom>
                                          <a:noFill/>
                                          <a:ln>
                                            <a:noFill/>
                                          </a:ln>
                                        </pic:spPr>
                                      </pic:pic>
                                    </a:graphicData>
                                  </a:graphic>
                                </wp:inline>
                              </w:drawing>
                            </w:r>
                            <w:r>
                              <w:rPr>
                                <w:rFonts w:hint="eastAsia" w:ascii="宋体" w:hAnsi="宋体" w:eastAsia="宋体" w:cs="宋体"/>
                                <w:sz w:val="24"/>
                                <w:szCs w:val="24"/>
                              </w:rPr>
                              <w:t>主产区</w:t>
                            </w:r>
                            <w:r>
                              <w:rPr>
                                <w:rFonts w:hint="eastAsia" w:ascii="宋体" w:hAnsi="宋体" w:eastAsia="宋体" w:cs="宋体"/>
                                <w:sz w:val="24"/>
                                <w:szCs w:val="24"/>
                                <w:lang w:eastAsia="zh-CN"/>
                              </w:rPr>
                              <w:t>，</w:t>
                            </w:r>
                          </w:p>
                          <w:p w14:paraId="46EE3DC9">
                            <w:pPr>
                              <w:keepNext w:val="0"/>
                              <w:keepLines w:val="0"/>
                              <w:pageBreakBefore w:val="0"/>
                              <w:widowControl/>
                              <w:kinsoku/>
                              <w:wordWrap/>
                              <w:overflowPunct/>
                              <w:topLinePunct w:val="0"/>
                              <w:bidi w:val="0"/>
                              <w:adjustRightInd/>
                              <w:snapToGrid/>
                              <w:spacing w:line="340" w:lineRule="exact"/>
                              <w:ind w:left="0" w:leftChars="0" w:firstLine="0" w:firstLineChars="0"/>
                              <w:textAlignment w:val="auto"/>
                              <w:rPr>
                                <w:rFonts w:hint="eastAsia" w:eastAsia="宋体"/>
                                <w:lang w:eastAsia="zh-CN"/>
                              </w:rPr>
                            </w:pPr>
                            <w:r>
                              <w:rPr>
                                <w:rFonts w:hint="eastAsia" w:ascii="宋体" w:hAnsi="宋体" w:eastAsia="宋体" w:cs="宋体"/>
                                <w:sz w:val="24"/>
                                <w:szCs w:val="24"/>
                              </w:rPr>
                              <w:t>绿色区域表示</w:t>
                            </w:r>
                            <w:r>
                              <w:rPr>
                                <w:rFonts w:hint="eastAsia" w:ascii="宋体" w:hAnsi="宋体" w:eastAsia="宋体" w:cs="宋体"/>
                                <w:sz w:val="24"/>
                                <w:szCs w:val="24"/>
                                <w:lang w:val="en-US" w:eastAsia="zh-CN"/>
                              </w:rPr>
                              <w:t>西部</w:t>
                            </w:r>
                            <w:r>
                              <w:rPr>
                                <w:rFonts w:hint="eastAsia" w:ascii="宋体" w:hAnsi="宋体" w:eastAsia="宋体" w:cs="宋体"/>
                                <w:sz w:val="24"/>
                                <w:szCs w:val="24"/>
                                <w:lang w:eastAsia="zh-CN"/>
                              </w:rPr>
                              <w:t>蔬菜和水果</w:t>
                            </w:r>
                            <w:r>
                              <w:rPr>
                                <w:rFonts w:hint="eastAsia" w:ascii="宋体" w:hAnsi="宋体" w:eastAsia="宋体" w:cs="宋体"/>
                                <w:sz w:val="24"/>
                                <w:szCs w:val="24"/>
                              </w:rPr>
                              <w:drawing>
                                <wp:inline distT="0" distB="0" distL="114300" distR="114300">
                                  <wp:extent cx="254635" cy="220345"/>
                                  <wp:effectExtent l="0" t="0" r="2476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254635" cy="220345"/>
                                          </a:xfrm>
                                          <a:prstGeom prst="rect">
                                            <a:avLst/>
                                          </a:prstGeom>
                                          <a:noFill/>
                                          <a:ln>
                                            <a:noFill/>
                                          </a:ln>
                                        </pic:spPr>
                                      </pic:pic>
                                    </a:graphicData>
                                  </a:graphic>
                                </wp:inline>
                              </w:drawing>
                            </w:r>
                            <w:r>
                              <w:rPr>
                                <w:rFonts w:hint="eastAsia" w:ascii="宋体" w:hAnsi="宋体" w:eastAsia="宋体" w:cs="宋体"/>
                                <w:sz w:val="24"/>
                                <w:szCs w:val="24"/>
                              </w:rPr>
                              <w:t>和特粮特经</w:t>
                            </w:r>
                            <w:r>
                              <w:rPr>
                                <w:rFonts w:hint="eastAsia" w:ascii="宋体" w:hAnsi="宋体" w:eastAsia="宋体" w:cs="宋体"/>
                                <w:sz w:val="24"/>
                                <w:szCs w:val="24"/>
                              </w:rPr>
                              <w:drawing>
                                <wp:inline distT="0" distB="0" distL="114300" distR="114300">
                                  <wp:extent cx="135890" cy="201930"/>
                                  <wp:effectExtent l="0" t="0" r="16510" b="127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a:stretch>
                                            <a:fillRect/>
                                          </a:stretch>
                                        </pic:blipFill>
                                        <pic:spPr>
                                          <a:xfrm>
                                            <a:off x="0" y="0"/>
                                            <a:ext cx="135890" cy="201930"/>
                                          </a:xfrm>
                                          <a:prstGeom prst="rect">
                                            <a:avLst/>
                                          </a:prstGeom>
                                          <a:noFill/>
                                          <a:ln>
                                            <a:noFill/>
                                          </a:ln>
                                        </pic:spPr>
                                      </pic:pic>
                                    </a:graphicData>
                                  </a:graphic>
                                </wp:inline>
                              </w:drawing>
                            </w:r>
                            <w:r>
                              <w:rPr>
                                <w:rFonts w:hint="eastAsia" w:ascii="宋体" w:hAnsi="宋体" w:eastAsia="宋体" w:cs="宋体"/>
                                <w:sz w:val="24"/>
                                <w:szCs w:val="24"/>
                              </w:rPr>
                              <w:t>主产区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黄绿北部区域为一二三产融合发展区域；</w:t>
                            </w:r>
                            <w:r>
                              <w:rPr>
                                <w:rFonts w:hint="eastAsia" w:ascii="宋体" w:hAnsi="宋体" w:eastAsia="宋体" w:cs="宋体"/>
                                <w:sz w:val="24"/>
                                <w:szCs w:val="24"/>
                              </w:rPr>
                              <w:t>图标</w:t>
                            </w:r>
                            <w:r>
                              <w:rPr>
                                <w:rFonts w:hint="eastAsia" w:ascii="宋体" w:hAnsi="宋体" w:eastAsia="宋体" w:cs="宋体"/>
                                <w:sz w:val="24"/>
                                <w:szCs w:val="24"/>
                              </w:rPr>
                              <w:drawing>
                                <wp:inline distT="0" distB="0" distL="114300" distR="114300">
                                  <wp:extent cx="233680" cy="214630"/>
                                  <wp:effectExtent l="0" t="0" r="20320" b="1397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2"/>
                                          <a:stretch>
                                            <a:fillRect/>
                                          </a:stretch>
                                        </pic:blipFill>
                                        <pic:spPr>
                                          <a:xfrm>
                                            <a:off x="0" y="0"/>
                                            <a:ext cx="233680" cy="214630"/>
                                          </a:xfrm>
                                          <a:prstGeom prst="rect">
                                            <a:avLst/>
                                          </a:prstGeom>
                                          <a:noFill/>
                                          <a:ln>
                                            <a:noFill/>
                                          </a:ln>
                                        </pic:spPr>
                                      </pic:pic>
                                    </a:graphicData>
                                  </a:graphic>
                                </wp:inline>
                              </w:drawing>
                            </w:r>
                            <w:r>
                              <w:rPr>
                                <w:rFonts w:hint="eastAsia" w:ascii="宋体" w:hAnsi="宋体" w:eastAsia="宋体" w:cs="宋体"/>
                                <w:sz w:val="24"/>
                                <w:szCs w:val="24"/>
                              </w:rPr>
                              <w:t>，</w:t>
                            </w:r>
                            <w:r>
                              <w:rPr>
                                <w:rFonts w:hint="eastAsia" w:ascii="宋体" w:hAnsi="宋体" w:eastAsia="宋体" w:cs="宋体"/>
                                <w:sz w:val="24"/>
                                <w:szCs w:val="24"/>
                              </w:rPr>
                              <w:drawing>
                                <wp:inline distT="0" distB="0" distL="114300" distR="114300">
                                  <wp:extent cx="173990" cy="207645"/>
                                  <wp:effectExtent l="0" t="0" r="3810" b="2095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3"/>
                                          <a:stretch>
                                            <a:fillRect/>
                                          </a:stretch>
                                        </pic:blipFill>
                                        <pic:spPr>
                                          <a:xfrm>
                                            <a:off x="0" y="0"/>
                                            <a:ext cx="173990" cy="207645"/>
                                          </a:xfrm>
                                          <a:prstGeom prst="rect">
                                            <a:avLst/>
                                          </a:prstGeom>
                                          <a:noFill/>
                                          <a:ln>
                                            <a:noFill/>
                                          </a:ln>
                                        </pic:spPr>
                                      </pic:pic>
                                    </a:graphicData>
                                  </a:graphic>
                                </wp:inline>
                              </w:drawing>
                            </w:r>
                            <w:r>
                              <w:rPr>
                                <w:rFonts w:hint="eastAsia" w:ascii="宋体" w:hAnsi="宋体" w:eastAsia="宋体" w:cs="宋体"/>
                                <w:sz w:val="24"/>
                                <w:szCs w:val="24"/>
                              </w:rPr>
                              <w:t>和</w:t>
                            </w:r>
                            <w:r>
                              <w:rPr>
                                <w:rFonts w:hint="eastAsia" w:ascii="宋体" w:hAnsi="宋体" w:eastAsia="宋体" w:cs="宋体"/>
                                <w:sz w:val="24"/>
                                <w:szCs w:val="24"/>
                              </w:rPr>
                              <w:drawing>
                                <wp:inline distT="0" distB="0" distL="114300" distR="114300">
                                  <wp:extent cx="260985" cy="171450"/>
                                  <wp:effectExtent l="0" t="0" r="18415" b="635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4"/>
                                          <a:stretch>
                                            <a:fillRect/>
                                          </a:stretch>
                                        </pic:blipFill>
                                        <pic:spPr>
                                          <a:xfrm>
                                            <a:off x="0" y="0"/>
                                            <a:ext cx="260985" cy="171450"/>
                                          </a:xfrm>
                                          <a:prstGeom prst="rect">
                                            <a:avLst/>
                                          </a:prstGeom>
                                          <a:noFill/>
                                          <a:ln>
                                            <a:noFill/>
                                          </a:ln>
                                        </pic:spPr>
                                      </pic:pic>
                                    </a:graphicData>
                                  </a:graphic>
                                </wp:inline>
                              </w:drawing>
                            </w:r>
                            <w:r>
                              <w:rPr>
                                <w:rFonts w:hint="eastAsia" w:ascii="宋体" w:hAnsi="宋体" w:eastAsia="宋体" w:cs="宋体"/>
                                <w:sz w:val="24"/>
                                <w:szCs w:val="24"/>
                              </w:rPr>
                              <w:t>分别表示该镇布局规模养殖羊场、鸡场和猪场</w:t>
                            </w:r>
                            <w:r>
                              <w:rPr>
                                <w:rFonts w:hint="eastAsia" w:ascii="宋体" w:hAnsi="宋体" w:eastAsia="宋体" w:cs="宋体"/>
                                <w:sz w:val="24"/>
                                <w:szCs w:val="24"/>
                                <w:lang w:eastAsia="zh-CN"/>
                              </w:rPr>
                              <w:t>。</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8.3pt;margin-top:3pt;height:259.6pt;width:99.9pt;z-index:251661312;mso-width-relative:page;mso-height-relative:page;" fillcolor="#FFFFFF [3201]" filled="t" stroked="t" coordsize="21600,21600" o:gfxdata="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Zk&#10;p+HWAAAACQEAAA8AAAAAAAAAAQAgAAAAIgAAAGRycy9kb3ducmV2LnhtbFBLAQIUABQAAAAIAIdO&#10;4kBtOPRSXgIAALoEAAAOAAAAAAAAAAEAIAAAACUBAABkcnMvZTJvRG9jLnhtbFBLBQYAAAAABgAG&#10;AFkBAAD1BQAAAAA=&#10;">
                <v:fill on="t" focussize="0,0"/>
                <v:stroke weight="0.5pt" color="#000000 [3204]" joinstyle="round"/>
                <v:imagedata o:title=""/>
                <o:lock v:ext="edit" aspectratio="f"/>
                <v:textbox style="layout-flow:vertical-ideographic;">
                  <w:txbxContent>
                    <w:p w14:paraId="262680FB">
                      <w:pPr>
                        <w:keepNext w:val="0"/>
                        <w:keepLines w:val="0"/>
                        <w:pageBreakBefore w:val="0"/>
                        <w:widowControl/>
                        <w:kinsoku/>
                        <w:wordWrap/>
                        <w:overflowPunct/>
                        <w:topLinePunct w:val="0"/>
                        <w:bidi w:val="0"/>
                        <w:adjustRightInd/>
                        <w:snapToGrid/>
                        <w:spacing w:line="340" w:lineRule="exact"/>
                        <w:ind w:left="0" w:leftChars="0" w:firstLine="0" w:firstLineChars="0"/>
                        <w:textAlignment w:val="auto"/>
                        <w:rPr>
                          <w:rFonts w:hint="eastAsia" w:ascii="宋体" w:hAnsi="宋体" w:eastAsia="宋体" w:cs="宋体"/>
                          <w:sz w:val="24"/>
                          <w:szCs w:val="24"/>
                          <w:lang w:eastAsia="zh-CN"/>
                        </w:rPr>
                      </w:pPr>
                      <w:r>
                        <w:rPr>
                          <w:rFonts w:hint="eastAsia" w:ascii="宋体" w:hAnsi="宋体" w:eastAsia="宋体" w:cs="宋体"/>
                          <w:sz w:val="24"/>
                          <w:szCs w:val="24"/>
                        </w:rPr>
                        <w:t>图</w:t>
                      </w:r>
                      <w:r>
                        <w:rPr>
                          <w:rFonts w:hint="eastAsia" w:ascii="宋体" w:hAnsi="宋体" w:eastAsia="宋体" w:cs="宋体"/>
                          <w:sz w:val="24"/>
                          <w:szCs w:val="24"/>
                          <w:lang w:val="en-US" w:eastAsia="zh-CN"/>
                        </w:rPr>
                        <w:t>1</w:t>
                      </w:r>
                      <w:r>
                        <w:rPr>
                          <w:rFonts w:hint="eastAsia" w:ascii="宋体" w:hAnsi="宋体" w:eastAsia="宋体" w:cs="宋体"/>
                          <w:sz w:val="24"/>
                          <w:szCs w:val="24"/>
                        </w:rPr>
                        <w:t>中黄色区域表示</w:t>
                      </w:r>
                      <w:r>
                        <w:rPr>
                          <w:rFonts w:hint="eastAsia" w:ascii="宋体" w:hAnsi="宋体" w:eastAsia="宋体" w:cs="宋体"/>
                          <w:sz w:val="24"/>
                          <w:szCs w:val="24"/>
                          <w:lang w:val="en-US" w:eastAsia="zh-CN"/>
                        </w:rPr>
                        <w:t>东部粮仓</w:t>
                      </w:r>
                      <w:r>
                        <w:rPr>
                          <w:rFonts w:hint="eastAsia" w:ascii="宋体" w:hAnsi="宋体" w:eastAsia="宋体" w:cs="宋体"/>
                          <w:sz w:val="24"/>
                          <w:szCs w:val="24"/>
                        </w:rPr>
                        <w:drawing>
                          <wp:inline distT="0" distB="0" distL="114300" distR="114300">
                            <wp:extent cx="243840" cy="259080"/>
                            <wp:effectExtent l="0" t="0" r="10160" b="2032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9"/>
                                    <a:stretch>
                                      <a:fillRect/>
                                    </a:stretch>
                                  </pic:blipFill>
                                  <pic:spPr>
                                    <a:xfrm>
                                      <a:off x="0" y="0"/>
                                      <a:ext cx="243840" cy="259080"/>
                                    </a:xfrm>
                                    <a:prstGeom prst="rect">
                                      <a:avLst/>
                                    </a:prstGeom>
                                    <a:noFill/>
                                    <a:ln>
                                      <a:noFill/>
                                    </a:ln>
                                  </pic:spPr>
                                </pic:pic>
                              </a:graphicData>
                            </a:graphic>
                          </wp:inline>
                        </w:drawing>
                      </w:r>
                      <w:r>
                        <w:rPr>
                          <w:rFonts w:hint="eastAsia" w:ascii="宋体" w:hAnsi="宋体" w:eastAsia="宋体" w:cs="宋体"/>
                          <w:sz w:val="24"/>
                          <w:szCs w:val="24"/>
                        </w:rPr>
                        <w:t>主产区</w:t>
                      </w:r>
                      <w:r>
                        <w:rPr>
                          <w:rFonts w:hint="eastAsia" w:ascii="宋体" w:hAnsi="宋体" w:eastAsia="宋体" w:cs="宋体"/>
                          <w:sz w:val="24"/>
                          <w:szCs w:val="24"/>
                          <w:lang w:eastAsia="zh-CN"/>
                        </w:rPr>
                        <w:t>，</w:t>
                      </w:r>
                    </w:p>
                    <w:p w14:paraId="46EE3DC9">
                      <w:pPr>
                        <w:keepNext w:val="0"/>
                        <w:keepLines w:val="0"/>
                        <w:pageBreakBefore w:val="0"/>
                        <w:widowControl/>
                        <w:kinsoku/>
                        <w:wordWrap/>
                        <w:overflowPunct/>
                        <w:topLinePunct w:val="0"/>
                        <w:bidi w:val="0"/>
                        <w:adjustRightInd/>
                        <w:snapToGrid/>
                        <w:spacing w:line="340" w:lineRule="exact"/>
                        <w:ind w:left="0" w:leftChars="0" w:firstLine="0" w:firstLineChars="0"/>
                        <w:textAlignment w:val="auto"/>
                        <w:rPr>
                          <w:rFonts w:hint="eastAsia" w:eastAsia="宋体"/>
                          <w:lang w:eastAsia="zh-CN"/>
                        </w:rPr>
                      </w:pPr>
                      <w:r>
                        <w:rPr>
                          <w:rFonts w:hint="eastAsia" w:ascii="宋体" w:hAnsi="宋体" w:eastAsia="宋体" w:cs="宋体"/>
                          <w:sz w:val="24"/>
                          <w:szCs w:val="24"/>
                        </w:rPr>
                        <w:t>绿色区域表示</w:t>
                      </w:r>
                      <w:r>
                        <w:rPr>
                          <w:rFonts w:hint="eastAsia" w:ascii="宋体" w:hAnsi="宋体" w:eastAsia="宋体" w:cs="宋体"/>
                          <w:sz w:val="24"/>
                          <w:szCs w:val="24"/>
                          <w:lang w:val="en-US" w:eastAsia="zh-CN"/>
                        </w:rPr>
                        <w:t>西部</w:t>
                      </w:r>
                      <w:r>
                        <w:rPr>
                          <w:rFonts w:hint="eastAsia" w:ascii="宋体" w:hAnsi="宋体" w:eastAsia="宋体" w:cs="宋体"/>
                          <w:sz w:val="24"/>
                          <w:szCs w:val="24"/>
                          <w:lang w:eastAsia="zh-CN"/>
                        </w:rPr>
                        <w:t>蔬菜和水果</w:t>
                      </w:r>
                      <w:r>
                        <w:rPr>
                          <w:rFonts w:hint="eastAsia" w:ascii="宋体" w:hAnsi="宋体" w:eastAsia="宋体" w:cs="宋体"/>
                          <w:sz w:val="24"/>
                          <w:szCs w:val="24"/>
                        </w:rPr>
                        <w:drawing>
                          <wp:inline distT="0" distB="0" distL="114300" distR="114300">
                            <wp:extent cx="254635" cy="220345"/>
                            <wp:effectExtent l="0" t="0" r="2476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254635" cy="220345"/>
                                    </a:xfrm>
                                    <a:prstGeom prst="rect">
                                      <a:avLst/>
                                    </a:prstGeom>
                                    <a:noFill/>
                                    <a:ln>
                                      <a:noFill/>
                                    </a:ln>
                                  </pic:spPr>
                                </pic:pic>
                              </a:graphicData>
                            </a:graphic>
                          </wp:inline>
                        </w:drawing>
                      </w:r>
                      <w:r>
                        <w:rPr>
                          <w:rFonts w:hint="eastAsia" w:ascii="宋体" w:hAnsi="宋体" w:eastAsia="宋体" w:cs="宋体"/>
                          <w:sz w:val="24"/>
                          <w:szCs w:val="24"/>
                        </w:rPr>
                        <w:t>和特粮特经</w:t>
                      </w:r>
                      <w:r>
                        <w:rPr>
                          <w:rFonts w:hint="eastAsia" w:ascii="宋体" w:hAnsi="宋体" w:eastAsia="宋体" w:cs="宋体"/>
                          <w:sz w:val="24"/>
                          <w:szCs w:val="24"/>
                        </w:rPr>
                        <w:drawing>
                          <wp:inline distT="0" distB="0" distL="114300" distR="114300">
                            <wp:extent cx="135890" cy="201930"/>
                            <wp:effectExtent l="0" t="0" r="16510" b="127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a:stretch>
                                      <a:fillRect/>
                                    </a:stretch>
                                  </pic:blipFill>
                                  <pic:spPr>
                                    <a:xfrm>
                                      <a:off x="0" y="0"/>
                                      <a:ext cx="135890" cy="201930"/>
                                    </a:xfrm>
                                    <a:prstGeom prst="rect">
                                      <a:avLst/>
                                    </a:prstGeom>
                                    <a:noFill/>
                                    <a:ln>
                                      <a:noFill/>
                                    </a:ln>
                                  </pic:spPr>
                                </pic:pic>
                              </a:graphicData>
                            </a:graphic>
                          </wp:inline>
                        </w:drawing>
                      </w:r>
                      <w:r>
                        <w:rPr>
                          <w:rFonts w:hint="eastAsia" w:ascii="宋体" w:hAnsi="宋体" w:eastAsia="宋体" w:cs="宋体"/>
                          <w:sz w:val="24"/>
                          <w:szCs w:val="24"/>
                        </w:rPr>
                        <w:t>主产区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黄绿北部区域为一二三产融合发展区域；</w:t>
                      </w:r>
                      <w:r>
                        <w:rPr>
                          <w:rFonts w:hint="eastAsia" w:ascii="宋体" w:hAnsi="宋体" w:eastAsia="宋体" w:cs="宋体"/>
                          <w:sz w:val="24"/>
                          <w:szCs w:val="24"/>
                        </w:rPr>
                        <w:t>图标</w:t>
                      </w:r>
                      <w:r>
                        <w:rPr>
                          <w:rFonts w:hint="eastAsia" w:ascii="宋体" w:hAnsi="宋体" w:eastAsia="宋体" w:cs="宋体"/>
                          <w:sz w:val="24"/>
                          <w:szCs w:val="24"/>
                        </w:rPr>
                        <w:drawing>
                          <wp:inline distT="0" distB="0" distL="114300" distR="114300">
                            <wp:extent cx="233680" cy="214630"/>
                            <wp:effectExtent l="0" t="0" r="20320" b="1397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2"/>
                                    <a:stretch>
                                      <a:fillRect/>
                                    </a:stretch>
                                  </pic:blipFill>
                                  <pic:spPr>
                                    <a:xfrm>
                                      <a:off x="0" y="0"/>
                                      <a:ext cx="233680" cy="214630"/>
                                    </a:xfrm>
                                    <a:prstGeom prst="rect">
                                      <a:avLst/>
                                    </a:prstGeom>
                                    <a:noFill/>
                                    <a:ln>
                                      <a:noFill/>
                                    </a:ln>
                                  </pic:spPr>
                                </pic:pic>
                              </a:graphicData>
                            </a:graphic>
                          </wp:inline>
                        </w:drawing>
                      </w:r>
                      <w:r>
                        <w:rPr>
                          <w:rFonts w:hint="eastAsia" w:ascii="宋体" w:hAnsi="宋体" w:eastAsia="宋体" w:cs="宋体"/>
                          <w:sz w:val="24"/>
                          <w:szCs w:val="24"/>
                        </w:rPr>
                        <w:t>，</w:t>
                      </w:r>
                      <w:r>
                        <w:rPr>
                          <w:rFonts w:hint="eastAsia" w:ascii="宋体" w:hAnsi="宋体" w:eastAsia="宋体" w:cs="宋体"/>
                          <w:sz w:val="24"/>
                          <w:szCs w:val="24"/>
                        </w:rPr>
                        <w:drawing>
                          <wp:inline distT="0" distB="0" distL="114300" distR="114300">
                            <wp:extent cx="173990" cy="207645"/>
                            <wp:effectExtent l="0" t="0" r="3810" b="2095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3"/>
                                    <a:stretch>
                                      <a:fillRect/>
                                    </a:stretch>
                                  </pic:blipFill>
                                  <pic:spPr>
                                    <a:xfrm>
                                      <a:off x="0" y="0"/>
                                      <a:ext cx="173990" cy="207645"/>
                                    </a:xfrm>
                                    <a:prstGeom prst="rect">
                                      <a:avLst/>
                                    </a:prstGeom>
                                    <a:noFill/>
                                    <a:ln>
                                      <a:noFill/>
                                    </a:ln>
                                  </pic:spPr>
                                </pic:pic>
                              </a:graphicData>
                            </a:graphic>
                          </wp:inline>
                        </w:drawing>
                      </w:r>
                      <w:r>
                        <w:rPr>
                          <w:rFonts w:hint="eastAsia" w:ascii="宋体" w:hAnsi="宋体" w:eastAsia="宋体" w:cs="宋体"/>
                          <w:sz w:val="24"/>
                          <w:szCs w:val="24"/>
                        </w:rPr>
                        <w:t>和</w:t>
                      </w:r>
                      <w:r>
                        <w:rPr>
                          <w:rFonts w:hint="eastAsia" w:ascii="宋体" w:hAnsi="宋体" w:eastAsia="宋体" w:cs="宋体"/>
                          <w:sz w:val="24"/>
                          <w:szCs w:val="24"/>
                        </w:rPr>
                        <w:drawing>
                          <wp:inline distT="0" distB="0" distL="114300" distR="114300">
                            <wp:extent cx="260985" cy="171450"/>
                            <wp:effectExtent l="0" t="0" r="18415" b="635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4"/>
                                    <a:stretch>
                                      <a:fillRect/>
                                    </a:stretch>
                                  </pic:blipFill>
                                  <pic:spPr>
                                    <a:xfrm>
                                      <a:off x="0" y="0"/>
                                      <a:ext cx="260985" cy="171450"/>
                                    </a:xfrm>
                                    <a:prstGeom prst="rect">
                                      <a:avLst/>
                                    </a:prstGeom>
                                    <a:noFill/>
                                    <a:ln>
                                      <a:noFill/>
                                    </a:ln>
                                  </pic:spPr>
                                </pic:pic>
                              </a:graphicData>
                            </a:graphic>
                          </wp:inline>
                        </w:drawing>
                      </w:r>
                      <w:r>
                        <w:rPr>
                          <w:rFonts w:hint="eastAsia" w:ascii="宋体" w:hAnsi="宋体" w:eastAsia="宋体" w:cs="宋体"/>
                          <w:sz w:val="24"/>
                          <w:szCs w:val="24"/>
                        </w:rPr>
                        <w:t>分别表示该镇布局规模养殖羊场、鸡场和猪场</w:t>
                      </w:r>
                      <w:r>
                        <w:rPr>
                          <w:rFonts w:hint="eastAsia" w:ascii="宋体" w:hAnsi="宋体" w:eastAsia="宋体" w:cs="宋体"/>
                          <w:sz w:val="24"/>
                          <w:szCs w:val="24"/>
                          <w:lang w:eastAsia="zh-CN"/>
                        </w:rPr>
                        <w:t>。</w:t>
                      </w:r>
                    </w:p>
                  </w:txbxContent>
                </v:textbox>
              </v:shape>
            </w:pict>
          </mc:Fallback>
        </mc:AlternateContent>
      </w:r>
      <w:r>
        <w:rPr>
          <w:rFonts w:hint="default" w:ascii="Times New Roman" w:hAnsi="Times New Roman" w:cs="Times New Roman"/>
          <w:color w:val="auto"/>
        </w:rPr>
        <w:drawing>
          <wp:anchor distT="0" distB="0" distL="114300" distR="114300" simplePos="0" relativeHeight="251659264" behindDoc="0" locked="0" layoutInCell="1" allowOverlap="1">
            <wp:simplePos x="0" y="0"/>
            <wp:positionH relativeFrom="column">
              <wp:posOffset>-151130</wp:posOffset>
            </wp:positionH>
            <wp:positionV relativeFrom="paragraph">
              <wp:posOffset>66040</wp:posOffset>
            </wp:positionV>
            <wp:extent cx="4403090" cy="3277870"/>
            <wp:effectExtent l="0" t="0" r="16510" b="2413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4403090" cy="3277870"/>
                    </a:xfrm>
                    <a:prstGeom prst="rect">
                      <a:avLst/>
                    </a:prstGeom>
                    <a:noFill/>
                    <a:ln>
                      <a:noFill/>
                    </a:ln>
                  </pic:spPr>
                </pic:pic>
              </a:graphicData>
            </a:graphic>
          </wp:anchor>
        </w:drawing>
      </w:r>
    </w:p>
    <w:p w14:paraId="4297BB7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center"/>
        <w:rPr>
          <w:rFonts w:hint="default" w:ascii="Times New Roman" w:hAnsi="Times New Roman" w:cs="Times New Roman"/>
          <w:color w:val="auto"/>
        </w:rPr>
      </w:pPr>
    </w:p>
    <w:p w14:paraId="10AD3C8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center"/>
        <w:rPr>
          <w:rFonts w:hint="default" w:ascii="Times New Roman" w:hAnsi="Times New Roman" w:cs="Times New Roman"/>
          <w:color w:val="auto"/>
        </w:rPr>
      </w:pPr>
    </w:p>
    <w:p w14:paraId="3D5DFA6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center"/>
        <w:rPr>
          <w:rFonts w:hint="default" w:ascii="Times New Roman" w:hAnsi="Times New Roman" w:cs="Times New Roman"/>
          <w:color w:val="auto"/>
        </w:rPr>
      </w:pPr>
    </w:p>
    <w:p w14:paraId="35E0E19B">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center"/>
        <w:rPr>
          <w:rFonts w:hint="default" w:ascii="Times New Roman" w:hAnsi="Times New Roman" w:cs="Times New Roman"/>
          <w:color w:val="auto"/>
        </w:rPr>
      </w:pPr>
    </w:p>
    <w:p w14:paraId="0B20F77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center"/>
        <w:rPr>
          <w:rFonts w:hint="default" w:ascii="Times New Roman" w:hAnsi="Times New Roman" w:cs="Times New Roman"/>
          <w:color w:val="auto"/>
        </w:rPr>
      </w:pPr>
    </w:p>
    <w:p w14:paraId="1BB31CD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center"/>
        <w:rPr>
          <w:rFonts w:hint="default" w:ascii="Times New Roman" w:hAnsi="Times New Roman" w:cs="Times New Roman"/>
          <w:color w:val="auto"/>
        </w:rPr>
      </w:pPr>
    </w:p>
    <w:p w14:paraId="7E0C3B0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center"/>
        <w:rPr>
          <w:rFonts w:hint="default" w:ascii="Times New Roman" w:hAnsi="Times New Roman" w:cs="Times New Roman"/>
          <w:color w:val="auto"/>
        </w:rPr>
      </w:pPr>
    </w:p>
    <w:p w14:paraId="2121E6B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center"/>
        <w:rPr>
          <w:rFonts w:hint="default" w:ascii="Times New Roman" w:hAnsi="Times New Roman" w:cs="Times New Roman"/>
          <w:color w:val="auto"/>
        </w:rPr>
      </w:pPr>
    </w:p>
    <w:p w14:paraId="16C169E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center"/>
        <w:rPr>
          <w:rFonts w:hint="default" w:ascii="Times New Roman" w:hAnsi="Times New Roman" w:cs="Times New Roman"/>
          <w:color w:val="auto"/>
        </w:rPr>
      </w:pPr>
    </w:p>
    <w:p w14:paraId="41EED55D">
      <w:pPr>
        <w:pageBreakBefore w:val="0"/>
        <w:wordWrap/>
        <w:overflowPunct/>
        <w:topLinePunct w:val="0"/>
        <w:bidi w:val="0"/>
        <w:ind w:left="0" w:leftChars="0" w:firstLine="0" w:firstLineChars="0"/>
        <w:jc w:val="center"/>
        <w:rPr>
          <w:rFonts w:hint="default" w:ascii="Times New Roman" w:hAnsi="Times New Roman" w:eastAsia="黑体" w:cs="Times New Roman"/>
          <w:color w:val="auto"/>
          <w:sz w:val="30"/>
          <w:szCs w:val="30"/>
        </w:rPr>
      </w:pPr>
      <w:r>
        <w:rPr>
          <w:rFonts w:hint="default" w:ascii="Times New Roman" w:hAnsi="Times New Roman" w:eastAsia="黑体" w:cs="Times New Roman"/>
          <w:color w:val="auto"/>
          <w:sz w:val="30"/>
          <w:szCs w:val="30"/>
        </w:rPr>
        <w:t>图1 主要农作物和家畜家禽</w:t>
      </w:r>
      <w:r>
        <w:rPr>
          <w:rFonts w:hint="default" w:ascii="Times New Roman" w:hAnsi="Times New Roman" w:eastAsia="黑体" w:cs="Times New Roman"/>
          <w:color w:val="auto"/>
          <w:sz w:val="30"/>
          <w:szCs w:val="30"/>
          <w:lang w:val="en-US" w:eastAsia="zh-CN"/>
        </w:rPr>
        <w:t>种植养殖</w:t>
      </w:r>
      <w:r>
        <w:rPr>
          <w:rFonts w:hint="default" w:ascii="Times New Roman" w:hAnsi="Times New Roman" w:eastAsia="黑体" w:cs="Times New Roman"/>
          <w:color w:val="auto"/>
          <w:sz w:val="30"/>
          <w:szCs w:val="30"/>
        </w:rPr>
        <w:t>布局</w:t>
      </w:r>
    </w:p>
    <w:p w14:paraId="12BE6C1B">
      <w:pPr>
        <w:pageBreakBefore w:val="0"/>
        <w:wordWrap/>
        <w:overflowPunct/>
        <w:topLinePunct w:val="0"/>
        <w:bidi w:val="0"/>
        <w:ind w:left="0" w:leftChars="0"/>
        <w:rPr>
          <w:rFonts w:hint="default" w:ascii="Times New Roman" w:hAnsi="Times New Roman" w:eastAsia="黑体" w:cs="Times New Roman"/>
          <w:color w:val="auto"/>
          <w:sz w:val="30"/>
          <w:szCs w:val="30"/>
        </w:rPr>
      </w:pPr>
      <w:r>
        <w:rPr>
          <w:rFonts w:hint="default" w:ascii="Times New Roman" w:hAnsi="Times New Roman" w:cs="Times New Roman"/>
          <w:color w:val="auto"/>
        </w:rPr>
        <w:t>海门养殖的家畜和家禽主要有山羊、猪和鸡三大</w:t>
      </w:r>
      <w:r>
        <w:rPr>
          <w:rFonts w:hint="default" w:ascii="Times New Roman" w:hAnsi="Times New Roman" w:cs="Times New Roman"/>
          <w:color w:val="auto"/>
          <w:lang w:eastAsia="zh-CN"/>
        </w:rPr>
        <w:t>品类</w:t>
      </w:r>
      <w:r>
        <w:rPr>
          <w:rFonts w:hint="default" w:ascii="Times New Roman" w:hAnsi="Times New Roman" w:cs="Times New Roman"/>
          <w:color w:val="auto"/>
          <w:lang w:val="en-US" w:eastAsia="zh-CN"/>
        </w:rPr>
        <w:t>。图1中</w:t>
      </w:r>
      <w:r>
        <w:rPr>
          <w:rFonts w:hint="default" w:ascii="Times New Roman" w:hAnsi="Times New Roman" w:cs="Times New Roman"/>
          <w:color w:val="auto"/>
        </w:rPr>
        <w:t>生猪养殖主要布局在常乐镇、海门高新区和海门港经开区</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包场镇</w:t>
      </w:r>
      <w:r>
        <w:rPr>
          <w:rFonts w:hint="default" w:ascii="Times New Roman" w:hAnsi="Times New Roman" w:cs="Times New Roman"/>
          <w:color w:val="auto"/>
          <w:lang w:eastAsia="zh-CN"/>
        </w:rPr>
        <w:t>）</w:t>
      </w:r>
      <w:r>
        <w:rPr>
          <w:rFonts w:hint="default" w:ascii="Times New Roman" w:hAnsi="Times New Roman" w:cs="Times New Roman"/>
          <w:color w:val="auto"/>
        </w:rPr>
        <w:t>，其中常乐镇和</w:t>
      </w:r>
      <w:r>
        <w:rPr>
          <w:rFonts w:hint="default" w:ascii="Times New Roman" w:hAnsi="Times New Roman" w:cs="Times New Roman"/>
          <w:color w:val="auto"/>
          <w:highlight w:val="none"/>
        </w:rPr>
        <w:t>海门高新区</w:t>
      </w:r>
      <w:r>
        <w:rPr>
          <w:rFonts w:hint="default" w:ascii="Times New Roman" w:hAnsi="Times New Roman" w:cs="Times New Roman"/>
          <w:color w:val="auto"/>
        </w:rPr>
        <w:t>两家牧场为生猪稳产保供基地，以海门山羊为主的白山羊分布相对较广，布局在四甲镇、常乐镇、海门高新区、余东镇、悦来镇、海门港经开区</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包场镇</w:t>
      </w:r>
      <w:r>
        <w:rPr>
          <w:rFonts w:hint="default" w:ascii="Times New Roman" w:hAnsi="Times New Roman" w:cs="Times New Roman"/>
          <w:color w:val="auto"/>
          <w:lang w:eastAsia="zh-CN"/>
        </w:rPr>
        <w:t>）</w:t>
      </w:r>
      <w:r>
        <w:rPr>
          <w:rFonts w:hint="default" w:ascii="Times New Roman" w:hAnsi="Times New Roman" w:cs="Times New Roman"/>
          <w:color w:val="auto"/>
        </w:rPr>
        <w:t>、三厂工业园区和正余镇等，家禽有蛋禽和肉禽，主要布局在四甲镇、常乐镇、海门高新区、海门街道、海门港经开区</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包场镇</w:t>
      </w:r>
      <w:r>
        <w:rPr>
          <w:rFonts w:hint="default" w:ascii="Times New Roman" w:hAnsi="Times New Roman" w:cs="Times New Roman"/>
          <w:color w:val="auto"/>
          <w:lang w:eastAsia="zh-CN"/>
        </w:rPr>
        <w:t>）</w:t>
      </w:r>
      <w:r>
        <w:rPr>
          <w:rFonts w:hint="default" w:ascii="Times New Roman" w:hAnsi="Times New Roman" w:cs="Times New Roman"/>
          <w:color w:val="auto"/>
        </w:rPr>
        <w:t>。</w:t>
      </w:r>
    </w:p>
    <w:p w14:paraId="3B3CEB52">
      <w:pPr>
        <w:pStyle w:val="4"/>
        <w:pageBreakBefore w:val="0"/>
        <w:wordWrap/>
        <w:overflowPunct/>
        <w:topLinePunct w:val="0"/>
        <w:bidi w:val="0"/>
        <w:ind w:left="0" w:leftChars="0" w:firstLine="320" w:firstLineChars="100"/>
        <w:rPr>
          <w:rFonts w:hint="default" w:ascii="Times New Roman" w:hAnsi="Times New Roman" w:cs="Times New Roman"/>
          <w:color w:val="auto"/>
          <w:lang w:eastAsia="zh-CN"/>
        </w:rPr>
      </w:pPr>
      <w:bookmarkStart w:id="68" w:name="_Toc358703688"/>
      <w:bookmarkStart w:id="69" w:name="_Toc27269"/>
      <w:bookmarkStart w:id="70" w:name="_Toc1342469781"/>
      <w:r>
        <w:rPr>
          <w:rFonts w:hint="default" w:ascii="Times New Roman" w:hAnsi="Times New Roman" w:cs="Times New Roman"/>
          <w:color w:val="auto"/>
        </w:rPr>
        <w:t>（二）推动全产业链</w:t>
      </w:r>
      <w:bookmarkEnd w:id="68"/>
      <w:r>
        <w:rPr>
          <w:rFonts w:hint="default" w:ascii="Times New Roman" w:hAnsi="Times New Roman" w:cs="Times New Roman"/>
          <w:color w:val="auto"/>
          <w:lang w:eastAsia="zh-CN"/>
        </w:rPr>
        <w:t>融合发展</w:t>
      </w:r>
      <w:bookmarkEnd w:id="69"/>
      <w:bookmarkEnd w:id="70"/>
    </w:p>
    <w:p w14:paraId="39F18DBD">
      <w:pPr>
        <w:pageBreakBefore w:val="0"/>
        <w:wordWrap/>
        <w:overflowPunct/>
        <w:topLinePunct w:val="0"/>
        <w:bidi w:val="0"/>
        <w:ind w:left="0" w:leftChars="0"/>
        <w:rPr>
          <w:rFonts w:hint="default" w:ascii="Times New Roman" w:hAnsi="Times New Roman" w:cs="Times New Roman"/>
          <w:color w:val="auto"/>
          <w:lang w:val="en-US" w:eastAsia="zh-CN"/>
        </w:rPr>
      </w:pPr>
      <w:bookmarkStart w:id="71" w:name="_Toc1177158041"/>
      <w:bookmarkStart w:id="72" w:name="_Toc746287087"/>
      <w:r>
        <w:rPr>
          <w:rFonts w:hint="default" w:ascii="Times New Roman" w:hAnsi="Times New Roman" w:cs="Times New Roman"/>
          <w:b/>
          <w:bCs/>
          <w:color w:val="auto"/>
          <w:lang w:val="en-US" w:eastAsia="zh-CN"/>
        </w:rPr>
        <w:t>发展设施特色农业。</w:t>
      </w:r>
      <w:r>
        <w:rPr>
          <w:rFonts w:hint="default" w:ascii="Times New Roman" w:hAnsi="Times New Roman" w:cs="Times New Roman"/>
          <w:color w:val="auto"/>
          <w:lang w:val="en-US" w:eastAsia="zh-CN"/>
        </w:rPr>
        <w:t>充分发挥设施农业优势和区位条件，专业化、规模化生产，配套先进的储藏和物流设施，推动特色产业发展，为全产业链发展打下基础。“十五五”期间以常乐镇、四甲镇、悦来镇、海门街道为主建设设施草莓生产区，以常乐镇、海门港经开区（包场镇）、悦来镇、海门高新区为主打造设施西甜瓜生产区，以海门街道、常乐镇、正余镇、悦来镇为主发展精品蔬菜生产区，以悦来镇、四甲镇、余东镇为主加大建设地方特色蔬菜生产区，以三厂街道、海门高新区、悦来镇为主不断培育设施果菜生产区，以正余镇、四甲镇、悦来镇、海门街道为主构建周年叶菜生产区。</w:t>
      </w:r>
    </w:p>
    <w:p w14:paraId="5C80EE2B">
      <w:pPr>
        <w:pageBreakBefore w:val="0"/>
        <w:wordWrap/>
        <w:overflowPunct/>
        <w:topLinePunct w:val="0"/>
        <w:bidi w:val="0"/>
        <w:ind w:left="0" w:leftChars="0"/>
        <w:rPr>
          <w:rFonts w:hint="default" w:ascii="Times New Roman" w:hAnsi="Times New Roman" w:cs="Times New Roman"/>
          <w:color w:val="auto"/>
          <w:lang w:eastAsia="zh-CN"/>
        </w:rPr>
      </w:pPr>
      <w:r>
        <w:rPr>
          <w:rFonts w:hint="default" w:ascii="Times New Roman" w:hAnsi="Times New Roman" w:cs="Times New Roman"/>
          <w:b/>
          <w:bCs/>
          <w:color w:val="auto"/>
        </w:rPr>
        <w:t>推</w:t>
      </w:r>
      <w:r>
        <w:rPr>
          <w:rFonts w:hint="default" w:ascii="Times New Roman" w:hAnsi="Times New Roman" w:cs="Times New Roman"/>
          <w:b/>
          <w:bCs/>
          <w:color w:val="auto"/>
          <w:lang w:val="en-US" w:eastAsia="zh-CN"/>
        </w:rPr>
        <w:t>进</w:t>
      </w:r>
      <w:r>
        <w:rPr>
          <w:rFonts w:hint="default" w:ascii="Times New Roman" w:hAnsi="Times New Roman" w:cs="Times New Roman"/>
          <w:b/>
          <w:bCs/>
          <w:color w:val="auto"/>
        </w:rPr>
        <w:t>农业全产业链</w:t>
      </w:r>
      <w:r>
        <w:rPr>
          <w:rFonts w:hint="default" w:ascii="Times New Roman" w:hAnsi="Times New Roman" w:cs="Times New Roman"/>
          <w:b/>
          <w:bCs/>
          <w:color w:val="auto"/>
          <w:lang w:val="en-US" w:eastAsia="zh-CN"/>
        </w:rPr>
        <w:t>发展</w:t>
      </w:r>
      <w:bookmarkEnd w:id="71"/>
      <w:bookmarkEnd w:id="72"/>
      <w:r>
        <w:rPr>
          <w:rFonts w:hint="default" w:ascii="Times New Roman" w:hAnsi="Times New Roman" w:cs="Times New Roman"/>
          <w:b/>
          <w:bCs/>
          <w:color w:val="auto"/>
          <w:lang w:val="en-US" w:eastAsia="zh-CN"/>
        </w:rPr>
        <w:t>。</w:t>
      </w:r>
      <w:r>
        <w:rPr>
          <w:rFonts w:hint="default" w:ascii="Times New Roman" w:hAnsi="Times New Roman" w:cs="Times New Roman"/>
          <w:color w:val="auto"/>
          <w:lang w:val="en-US" w:eastAsia="zh-CN"/>
        </w:rPr>
        <w:t>做精“六个一”</w:t>
      </w:r>
      <w:r>
        <w:rPr>
          <w:rFonts w:hint="default" w:ascii="Times New Roman" w:hAnsi="Times New Roman" w:cs="Times New Roman"/>
          <w:color w:val="auto"/>
          <w:vertAlign w:val="superscript"/>
          <w:lang w:val="en-US" w:eastAsia="zh-CN"/>
        </w:rPr>
        <w:footnoteReference w:id="6"/>
      </w:r>
      <w:r>
        <w:rPr>
          <w:rFonts w:hint="default" w:ascii="Times New Roman" w:hAnsi="Times New Roman" w:cs="Times New Roman"/>
          <w:color w:val="auto"/>
          <w:lang w:val="en-US" w:eastAsia="zh-CN"/>
        </w:rPr>
        <w:t>特色体系，重点围绕海门山羊、绿色蔬菜和特色芋艿等主导产业，优化基地布局，扩大核心种群和种植面积，加快从“种养基地”向“绿色健康食品供应中心”跨越。依托博涛米业、大华种业等，进一步扩大优质稻米种植面积，实施“佳之味”大米加工项目，扶持博涛米业发展现代米业，提升“淘米记”海门大米品牌效应；挖掘特粮特经、“四青”作物产能，推动适度规模种植，做强传统产业</w:t>
      </w:r>
      <w:bookmarkStart w:id="73" w:name="_Toc1542572729"/>
      <w:r>
        <w:rPr>
          <w:rFonts w:hint="default" w:ascii="Times New Roman" w:hAnsi="Times New Roman" w:cs="Times New Roman"/>
          <w:color w:val="auto"/>
          <w:lang w:val="en-US" w:eastAsia="zh-CN"/>
        </w:rPr>
        <w:t>。“十五五”期间把绿色设施蔬菜水果产业和海门肉鸡培育成全产业链50亿元以上的主导产业，把海门大米、特粮特经、“四青”作物和海门山羊四个产业培育成全产业链20亿元以上的特色产业。积极申</w:t>
      </w:r>
      <w:r>
        <w:rPr>
          <w:rFonts w:hint="default" w:ascii="Times New Roman" w:hAnsi="Times New Roman" w:cs="Times New Roman"/>
          <w:color w:val="auto"/>
        </w:rPr>
        <w:t>报建设省级农业全产</w:t>
      </w:r>
      <w:r>
        <w:rPr>
          <w:rFonts w:hint="default" w:ascii="Times New Roman" w:hAnsi="Times New Roman" w:cs="Times New Roman"/>
          <w:color w:val="auto"/>
          <w:lang w:eastAsia="zh-CN"/>
        </w:rPr>
        <w:t>业链</w:t>
      </w:r>
      <w:r>
        <w:rPr>
          <w:rFonts w:hint="default" w:ascii="Times New Roman" w:hAnsi="Times New Roman" w:cs="Times New Roman"/>
          <w:color w:val="auto"/>
        </w:rPr>
        <w:t>重点链，支持农业龙头企业协同共建产业链供应链。</w:t>
      </w:r>
    </w:p>
    <w:p w14:paraId="29FF7073">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楷体_GB2312" w:cs="Times New Roman"/>
          <w:b/>
          <w:bCs/>
          <w:color w:val="auto"/>
          <w:sz w:val="30"/>
          <w:szCs w:val="30"/>
        </w:rPr>
      </w:pPr>
      <w:r>
        <w:rPr>
          <w:rFonts w:hint="default" w:ascii="Times New Roman" w:hAnsi="Times New Roman" w:eastAsia="楷体_GB2312" w:cs="Times New Roman"/>
          <w:b/>
          <w:bCs/>
          <w:color w:val="auto"/>
          <w:lang w:val="en-US" w:eastAsia="zh-CN"/>
        </w:rPr>
        <w:t>专栏1：</w:t>
      </w:r>
      <w:r>
        <w:rPr>
          <w:rFonts w:hint="default" w:ascii="Times New Roman" w:hAnsi="Times New Roman" w:eastAsia="楷体_GB2312" w:cs="Times New Roman"/>
          <w:b/>
          <w:bCs/>
          <w:color w:val="auto"/>
          <w:sz w:val="30"/>
          <w:szCs w:val="30"/>
          <w:lang w:val="en-US" w:eastAsia="zh-CN"/>
        </w:rPr>
        <w:t>完善</w:t>
      </w:r>
      <w:r>
        <w:rPr>
          <w:rFonts w:hint="default" w:ascii="Times New Roman" w:hAnsi="Times New Roman" w:eastAsia="楷体_GB2312" w:cs="Times New Roman"/>
          <w:b/>
          <w:bCs/>
          <w:color w:val="auto"/>
          <w:sz w:val="30"/>
          <w:szCs w:val="30"/>
        </w:rPr>
        <w:t>海门山羊</w:t>
      </w:r>
      <w:r>
        <w:rPr>
          <w:rFonts w:hint="default" w:ascii="Times New Roman" w:hAnsi="Times New Roman" w:eastAsia="楷体_GB2312" w:cs="Times New Roman"/>
          <w:b/>
          <w:bCs/>
          <w:color w:val="auto"/>
          <w:sz w:val="30"/>
          <w:szCs w:val="30"/>
          <w:lang w:val="en-US" w:eastAsia="zh-CN"/>
        </w:rPr>
        <w:t>全</w:t>
      </w:r>
      <w:r>
        <w:rPr>
          <w:rFonts w:hint="default" w:ascii="Times New Roman" w:hAnsi="Times New Roman" w:eastAsia="楷体_GB2312" w:cs="Times New Roman"/>
          <w:b/>
          <w:bCs/>
          <w:color w:val="auto"/>
          <w:sz w:val="30"/>
          <w:szCs w:val="30"/>
        </w:rPr>
        <w:t>产业链</w:t>
      </w:r>
    </w:p>
    <w:p w14:paraId="50F57778">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楷体_GB2312" w:cs="Times New Roman"/>
          <w:b/>
          <w:bCs/>
          <w:color w:val="auto"/>
          <w:sz w:val="30"/>
          <w:szCs w:val="30"/>
          <w:lang w:val="en-US" w:eastAsia="zh-CN"/>
        </w:rPr>
      </w:pPr>
      <w:r>
        <w:rPr>
          <w:rFonts w:hint="default" w:ascii="Times New Roman" w:hAnsi="Times New Roman" w:eastAsia="楷体_GB2312" w:cs="Times New Roman"/>
          <w:color w:val="auto"/>
          <w:sz w:val="30"/>
          <w:szCs w:val="30"/>
          <w:lang w:val="en-US" w:eastAsia="zh-CN"/>
        </w:rPr>
        <w:t>推进海门山羊全产业链的发展，着力</w:t>
      </w:r>
      <w:r>
        <w:rPr>
          <w:rFonts w:hint="default" w:ascii="Times New Roman" w:hAnsi="Times New Roman" w:eastAsia="楷体_GB2312" w:cs="Times New Roman"/>
          <w:color w:val="auto"/>
          <w:sz w:val="30"/>
          <w:szCs w:val="30"/>
        </w:rPr>
        <w:t>培育海门山羊产业链主企业，开发海门山羊系列产品，提升羊肉精深加工水平，</w:t>
      </w:r>
      <w:r>
        <w:rPr>
          <w:rFonts w:hint="default" w:ascii="Times New Roman" w:hAnsi="Times New Roman" w:eastAsia="楷体_GB2312" w:cs="Times New Roman"/>
          <w:color w:val="auto"/>
          <w:sz w:val="30"/>
          <w:szCs w:val="30"/>
          <w:lang w:val="en-US" w:eastAsia="zh-CN"/>
        </w:rPr>
        <w:t>努力</w:t>
      </w:r>
      <w:r>
        <w:rPr>
          <w:rFonts w:hint="default" w:ascii="Times New Roman" w:hAnsi="Times New Roman" w:eastAsia="楷体_GB2312" w:cs="Times New Roman"/>
          <w:color w:val="auto"/>
          <w:sz w:val="30"/>
          <w:szCs w:val="30"/>
        </w:rPr>
        <w:t>打入“山姆”“大润发”等高端超市及“米其林”等高端餐厅，做大做</w:t>
      </w:r>
      <w:r>
        <w:rPr>
          <w:rFonts w:hint="default" w:ascii="Times New Roman" w:hAnsi="Times New Roman" w:eastAsia="楷体_GB2312" w:cs="Times New Roman"/>
          <w:color w:val="auto"/>
          <w:sz w:val="30"/>
          <w:szCs w:val="30"/>
          <w:lang w:val="en-US" w:eastAsia="zh-CN"/>
        </w:rPr>
        <w:t>强</w:t>
      </w:r>
      <w:r>
        <w:rPr>
          <w:rFonts w:hint="default" w:ascii="Times New Roman" w:hAnsi="Times New Roman" w:eastAsia="楷体_GB2312" w:cs="Times New Roman"/>
          <w:color w:val="auto"/>
          <w:sz w:val="30"/>
          <w:szCs w:val="30"/>
        </w:rPr>
        <w:t>海门山羊产业</w:t>
      </w:r>
      <w:r>
        <w:rPr>
          <w:rFonts w:hint="default" w:ascii="Times New Roman" w:hAnsi="Times New Roman" w:eastAsia="楷体_GB2312" w:cs="Times New Roman"/>
          <w:color w:val="auto"/>
          <w:sz w:val="30"/>
          <w:szCs w:val="30"/>
          <w:lang w:val="en-US" w:eastAsia="zh-CN"/>
        </w:rPr>
        <w:t>，逐步打造国家级优势特色产业集群。</w:t>
      </w:r>
      <w:r>
        <w:rPr>
          <w:rFonts w:hint="default" w:ascii="Times New Roman" w:hAnsi="Times New Roman" w:eastAsia="楷体_GB2312" w:cs="Times New Roman"/>
          <w:color w:val="auto"/>
          <w:sz w:val="30"/>
          <w:szCs w:val="30"/>
        </w:rPr>
        <w:t>积极创建</w:t>
      </w:r>
      <w:r>
        <w:rPr>
          <w:rFonts w:hint="default" w:ascii="Times New Roman" w:hAnsi="Times New Roman" w:eastAsia="楷体_GB2312" w:cs="Times New Roman"/>
          <w:color w:val="auto"/>
          <w:sz w:val="30"/>
          <w:szCs w:val="30"/>
          <w:lang w:eastAsia="zh-CN"/>
        </w:rPr>
        <w:t>“</w:t>
      </w:r>
      <w:r>
        <w:rPr>
          <w:rFonts w:hint="default" w:ascii="Times New Roman" w:hAnsi="Times New Roman" w:eastAsia="楷体_GB2312" w:cs="Times New Roman"/>
          <w:color w:val="auto"/>
          <w:sz w:val="30"/>
          <w:szCs w:val="30"/>
        </w:rPr>
        <w:t>国家级核心育种场</w:t>
      </w:r>
      <w:r>
        <w:rPr>
          <w:rFonts w:hint="default" w:ascii="Times New Roman" w:hAnsi="Times New Roman" w:eastAsia="楷体_GB2312" w:cs="Times New Roman"/>
          <w:color w:val="auto"/>
          <w:sz w:val="30"/>
          <w:szCs w:val="30"/>
          <w:lang w:eastAsia="zh-CN"/>
        </w:rPr>
        <w:t>”</w:t>
      </w:r>
      <w:r>
        <w:rPr>
          <w:rFonts w:hint="default" w:ascii="Times New Roman" w:hAnsi="Times New Roman" w:eastAsia="楷体_GB2312" w:cs="Times New Roman"/>
          <w:color w:val="auto"/>
          <w:sz w:val="30"/>
          <w:szCs w:val="30"/>
          <w:lang w:val="en-US" w:eastAsia="zh-CN"/>
        </w:rPr>
        <w:t>和“国家级科技小院”，推动海门山羊产业高质量发展。严格落实海门山羊“六统一”标准，积极推进冠名贯标工作，切实推进融合发展，全力打造集保种扩繁、规模养殖、屠宰加工、品牌营销与文化推广于一体的完整产业链。</w:t>
      </w:r>
    </w:p>
    <w:p w14:paraId="0A4110D8">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楷体_GB2312" w:cs="Times New Roman"/>
          <w:b/>
          <w:bCs/>
          <w:color w:val="auto"/>
          <w:sz w:val="30"/>
          <w:szCs w:val="30"/>
          <w:lang w:val="en-US" w:eastAsia="zh-CN"/>
        </w:rPr>
      </w:pPr>
      <w:r>
        <w:rPr>
          <w:rFonts w:hint="default" w:ascii="Times New Roman" w:hAnsi="Times New Roman" w:eastAsia="楷体_GB2312" w:cs="Times New Roman"/>
          <w:b/>
          <w:bCs/>
          <w:color w:val="auto"/>
          <w:sz w:val="30"/>
          <w:szCs w:val="30"/>
          <w:lang w:val="en-US" w:eastAsia="zh-CN"/>
        </w:rPr>
        <w:t>专栏2：着力培育海门肉鸡全产业链</w:t>
      </w:r>
    </w:p>
    <w:p w14:paraId="18FB0C49">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default" w:ascii="Times New Roman" w:hAnsi="Times New Roman" w:eastAsia="楷体_GB2312" w:cs="Times New Roman"/>
          <w:color w:val="auto"/>
          <w:sz w:val="30"/>
          <w:szCs w:val="30"/>
          <w:lang w:val="en-US" w:eastAsia="zh-CN"/>
        </w:rPr>
      </w:pPr>
      <w:r>
        <w:rPr>
          <w:rFonts w:hint="default" w:ascii="Times New Roman" w:hAnsi="Times New Roman" w:eastAsia="楷体_GB2312" w:cs="Times New Roman"/>
          <w:color w:val="auto"/>
          <w:sz w:val="30"/>
          <w:szCs w:val="30"/>
          <w:lang w:val="en-US" w:eastAsia="zh-CN"/>
        </w:rPr>
        <w:t>依托江苏京海禽业集团、泰森食品等农业产业化国家重点龙头企业，围绕打造百亿肉鸡产业集群目标，持续建设集种鸡繁育、肉鸡养殖、饲料生产、屠宰加工、冷链物流、市场销售于一体的全产业链运营体系；深化与中国农科院、扬州大学等科研院校合作，推进白羽肉鸡育种攻关，加快自主培育新品种，聚力种源创新，打造全国肉鸡种源高地。推广节地智能养殖，向立体化要产能，在行业首创“楼房养种鸡”模式基础上，配套智能环控、精准喂料、自动清粪等系统，实现全程数字化管理。完善屠宰加工与冷链物流，支持泰森公司延伸精深加工链条，发展调理品、熟食等高附加值产品，提升自动化屠宰线和智能化冷库水平。深化联农带农，促进农民增收，健全“龙头企业+合作社+农户”利益联结机制，推行现代化管理模式，带动养殖场户共同致富。</w:t>
      </w:r>
    </w:p>
    <w:p w14:paraId="64D1B21D">
      <w:pPr>
        <w:pageBreakBefore w:val="0"/>
        <w:wordWrap/>
        <w:overflowPunct/>
        <w:topLinePunct w:val="0"/>
        <w:bidi w:val="0"/>
        <w:ind w:left="0" w:leftChars="0"/>
        <w:rPr>
          <w:rFonts w:hint="default" w:ascii="Times New Roman" w:hAnsi="Times New Roman" w:cs="Times New Roman"/>
          <w:color w:val="auto"/>
          <w:highlight w:val="none"/>
          <w:lang w:val="en-US"/>
        </w:rPr>
      </w:pPr>
      <w:bookmarkStart w:id="74" w:name="_Toc17357254"/>
      <w:r>
        <w:rPr>
          <w:rFonts w:hint="default" w:ascii="Times New Roman" w:hAnsi="Times New Roman" w:cs="Times New Roman"/>
          <w:b/>
          <w:bCs/>
          <w:color w:val="auto"/>
          <w:lang w:val="en-US" w:eastAsia="zh-CN"/>
        </w:rPr>
        <w:t>实施生物制造产业科创高地行动</w:t>
      </w:r>
      <w:bookmarkEnd w:id="74"/>
      <w:r>
        <w:rPr>
          <w:rFonts w:hint="default" w:ascii="Times New Roman" w:hAnsi="Times New Roman" w:cs="Times New Roman"/>
          <w:b/>
          <w:bCs/>
          <w:color w:val="auto"/>
          <w:lang w:val="en-US" w:eastAsia="zh-CN"/>
        </w:rPr>
        <w:t>。</w:t>
      </w:r>
      <w:r>
        <w:rPr>
          <w:rFonts w:hint="default" w:ascii="Times New Roman" w:hAnsi="Times New Roman" w:cs="Times New Roman"/>
          <w:color w:val="auto"/>
          <w:lang w:val="en-US" w:eastAsia="zh-CN"/>
        </w:rPr>
        <w:t>以兽药（含生物制品）为核心发展方向，构建系统化企业引育机制，通过政策激励与资源倾斜强化优质</w:t>
      </w:r>
      <w:r>
        <w:rPr>
          <w:rFonts w:hint="default" w:ascii="Times New Roman" w:hAnsi="Times New Roman" w:cs="Times New Roman"/>
          <w:color w:val="auto"/>
          <w:highlight w:val="none"/>
          <w:lang w:val="en-US" w:eastAsia="zh-CN"/>
        </w:rPr>
        <w:t>企业招引和本土企业培育。聚焦重点领域培育，持续加大研发投入强度，联合高校院所共建创新基地，推动产学研深度融合与协同创新，提升生物制造产业创新能力和产品核心竞争力。加快生物科技企业培育步伐，推动兽药生产标准化、规模化发展，到2030年累计培育兽药（含生物制品）GMP生产流水线至少19条，完善产业发展配套，形成布局合理、产能高效的产业发展格局。建立动物病原微生物实验室备案支持机制，优化备案流程，“十五五”期末备案动物病原微生物实验室至少5家。完善生物制造产业服务体系，提供政策咨询、技术指导等一站式服务，促进产业规范健康发展。依托兽药与饲料产业基础，重点发展宠物药品、健康食品及诊疗保健服务。以恒丰强生物项目为龙头，加快培育本土宠物品牌，构建“研发—生产—服务”全产业链条，打造长三角宠物产业新高地。</w:t>
      </w:r>
    </w:p>
    <w:p w14:paraId="30355D2E">
      <w:pPr>
        <w:pageBreakBefore w:val="0"/>
        <w:wordWrap/>
        <w:overflowPunct/>
        <w:topLinePunct w:val="0"/>
        <w:bidi w:val="0"/>
        <w:ind w:left="0" w:leftChars="0"/>
        <w:rPr>
          <w:rFonts w:hint="default" w:ascii="Times New Roman" w:hAnsi="Times New Roman" w:cs="Times New Roman"/>
          <w:color w:val="auto"/>
        </w:rPr>
      </w:pPr>
      <w:bookmarkStart w:id="75" w:name="_Toc1813075633"/>
      <w:r>
        <w:rPr>
          <w:rFonts w:hint="default" w:ascii="Times New Roman" w:hAnsi="Times New Roman" w:cs="Times New Roman"/>
          <w:b/>
          <w:bCs/>
          <w:color w:val="auto"/>
        </w:rPr>
        <w:t>优化产地冷链集配中心布局</w:t>
      </w:r>
      <w:bookmarkEnd w:id="75"/>
      <w:r>
        <w:rPr>
          <w:rFonts w:hint="default" w:ascii="Times New Roman" w:hAnsi="Times New Roman" w:cs="Times New Roman"/>
          <w:color w:val="auto"/>
          <w:lang w:eastAsia="zh-CN"/>
        </w:rPr>
        <w:t>。</w:t>
      </w:r>
      <w:r>
        <w:rPr>
          <w:rFonts w:hint="default" w:ascii="Times New Roman" w:hAnsi="Times New Roman" w:cs="Times New Roman"/>
          <w:color w:val="auto"/>
        </w:rPr>
        <w:t>“十五五”期间加快农产品产地仓储保鲜设施建设，面向</w:t>
      </w:r>
      <w:r>
        <w:rPr>
          <w:rFonts w:hint="default" w:ascii="Times New Roman" w:hAnsi="Times New Roman" w:cs="Times New Roman"/>
          <w:color w:val="auto"/>
          <w:lang w:val="en-US" w:eastAsia="zh-CN"/>
        </w:rPr>
        <w:t>粮食、</w:t>
      </w:r>
      <w:r>
        <w:rPr>
          <w:rFonts w:hint="default" w:ascii="Times New Roman" w:hAnsi="Times New Roman" w:cs="Times New Roman"/>
          <w:color w:val="auto"/>
          <w:lang w:eastAsia="zh-CN"/>
        </w:rPr>
        <w:t>蔬菜和水果</w:t>
      </w:r>
      <w:r>
        <w:rPr>
          <w:rFonts w:hint="default" w:ascii="Times New Roman" w:hAnsi="Times New Roman" w:cs="Times New Roman"/>
          <w:color w:val="auto"/>
          <w:lang w:val="en-US" w:eastAsia="zh-CN"/>
        </w:rPr>
        <w:t>等</w:t>
      </w:r>
      <w:r>
        <w:rPr>
          <w:rFonts w:hint="default" w:ascii="Times New Roman" w:hAnsi="Times New Roman" w:cs="Times New Roman"/>
          <w:color w:val="auto"/>
        </w:rPr>
        <w:t>农产品重点镇和中心村，集中建设产地仓储</w:t>
      </w:r>
      <w:r>
        <w:rPr>
          <w:rFonts w:hint="default" w:ascii="Times New Roman" w:hAnsi="Times New Roman" w:cs="Times New Roman"/>
          <w:color w:val="auto"/>
          <w:lang w:eastAsia="zh-CN"/>
        </w:rPr>
        <w:t>、</w:t>
      </w:r>
      <w:r>
        <w:rPr>
          <w:rFonts w:hint="default" w:ascii="Times New Roman" w:hAnsi="Times New Roman" w:cs="Times New Roman"/>
          <w:color w:val="auto"/>
        </w:rPr>
        <w:t>保鲜</w:t>
      </w:r>
      <w:r>
        <w:rPr>
          <w:rFonts w:hint="default" w:ascii="Times New Roman" w:hAnsi="Times New Roman" w:cs="Times New Roman"/>
          <w:color w:val="auto"/>
          <w:lang w:eastAsia="zh-CN"/>
        </w:rPr>
        <w:t>、烘干、加工设施，新建一处现代化水平</w:t>
      </w:r>
      <w:r>
        <w:rPr>
          <w:rFonts w:hint="default" w:ascii="Times New Roman" w:hAnsi="Times New Roman" w:cs="Times New Roman"/>
          <w:color w:val="auto"/>
          <w:lang w:val="en-US" w:eastAsia="zh-CN"/>
        </w:rPr>
        <w:t>较高</w:t>
      </w:r>
      <w:r>
        <w:rPr>
          <w:rFonts w:hint="default" w:ascii="Times New Roman" w:hAnsi="Times New Roman" w:cs="Times New Roman"/>
          <w:color w:val="auto"/>
          <w:lang w:eastAsia="zh-CN"/>
        </w:rPr>
        <w:t>的粮食加工中心。</w:t>
      </w:r>
      <w:r>
        <w:rPr>
          <w:rFonts w:hint="default" w:ascii="Times New Roman" w:hAnsi="Times New Roman" w:cs="Times New Roman"/>
          <w:color w:val="auto"/>
        </w:rPr>
        <w:t>推动建立长三角高端生鲜食品分拨中心</w:t>
      </w:r>
      <w:r>
        <w:rPr>
          <w:rFonts w:hint="default" w:ascii="Times New Roman" w:hAnsi="Times New Roman" w:cs="Times New Roman"/>
          <w:color w:val="auto"/>
          <w:lang w:eastAsia="zh-CN"/>
        </w:rPr>
        <w:t>；</w:t>
      </w:r>
      <w:r>
        <w:rPr>
          <w:rFonts w:hint="default" w:ascii="Times New Roman" w:hAnsi="Times New Roman" w:cs="Times New Roman"/>
          <w:color w:val="auto"/>
        </w:rPr>
        <w:t>“点面结合”发展农产品仓储冷链物流，计划在东部和西部再建两</w:t>
      </w:r>
      <w:r>
        <w:rPr>
          <w:rFonts w:hint="default" w:ascii="Times New Roman" w:hAnsi="Times New Roman" w:cs="Times New Roman"/>
          <w:color w:val="auto"/>
          <w:lang w:val="en-US" w:eastAsia="zh-CN"/>
        </w:rPr>
        <w:t>家</w:t>
      </w:r>
      <w:r>
        <w:rPr>
          <w:rFonts w:hint="default" w:ascii="Times New Roman" w:hAnsi="Times New Roman" w:cs="Times New Roman"/>
          <w:color w:val="auto"/>
        </w:rPr>
        <w:t>产地冷链集配中心。</w:t>
      </w:r>
    </w:p>
    <w:p w14:paraId="5643CE2D">
      <w:pPr>
        <w:pageBreakBefore w:val="0"/>
        <w:widowControl w:val="0"/>
        <w:kinsoku/>
        <w:wordWrap/>
        <w:overflowPunct/>
        <w:topLinePunct w:val="0"/>
        <w:autoSpaceDE/>
        <w:autoSpaceDN/>
        <w:bidi w:val="0"/>
        <w:adjustRightInd/>
        <w:snapToGrid/>
        <w:spacing w:line="560" w:lineRule="exact"/>
        <w:ind w:left="0" w:leftChars="0"/>
        <w:textAlignment w:val="auto"/>
        <w:rPr>
          <w:rFonts w:hint="default" w:ascii="Times New Roman" w:hAnsi="Times New Roman" w:cs="Times New Roman"/>
          <w:color w:val="auto"/>
        </w:rPr>
      </w:pPr>
      <w:bookmarkStart w:id="76" w:name="_Toc757991621"/>
      <w:bookmarkStart w:id="77" w:name="_Toc1716696548"/>
      <w:r>
        <w:rPr>
          <w:rFonts w:hint="default" w:ascii="Times New Roman" w:hAnsi="Times New Roman" w:cs="Times New Roman"/>
          <w:b/>
          <w:bCs/>
          <w:color w:val="auto"/>
        </w:rPr>
        <w:t>完善基层电商服务体系</w:t>
      </w:r>
      <w:bookmarkEnd w:id="76"/>
      <w:r>
        <w:rPr>
          <w:rFonts w:hint="default" w:ascii="Times New Roman" w:hAnsi="Times New Roman" w:cs="Times New Roman"/>
          <w:b/>
          <w:bCs/>
          <w:color w:val="auto"/>
          <w:lang w:eastAsia="zh-CN"/>
        </w:rPr>
        <w:t>。</w:t>
      </w:r>
      <w:r>
        <w:rPr>
          <w:rFonts w:hint="default" w:ascii="Times New Roman" w:hAnsi="Times New Roman" w:cs="Times New Roman"/>
          <w:color w:val="auto"/>
        </w:rPr>
        <w:t>充分运用直播电商、社交电商、内容电商、即时零售、农</w:t>
      </w:r>
      <w:r>
        <w:rPr>
          <w:rFonts w:hint="default" w:ascii="Times New Roman" w:hAnsi="Times New Roman" w:cs="Times New Roman"/>
          <w:color w:val="auto"/>
          <w:lang w:val="en-US" w:eastAsia="zh-CN"/>
        </w:rPr>
        <w:t>文</w:t>
      </w:r>
      <w:r>
        <w:rPr>
          <w:rFonts w:hint="default" w:ascii="Times New Roman" w:hAnsi="Times New Roman" w:cs="Times New Roman"/>
          <w:color w:val="auto"/>
        </w:rPr>
        <w:t>旅</w:t>
      </w:r>
      <w:r>
        <w:rPr>
          <w:rFonts w:hint="default" w:ascii="Times New Roman" w:hAnsi="Times New Roman" w:cs="Times New Roman"/>
          <w:color w:val="auto"/>
          <w:lang w:eastAsia="zh-CN"/>
        </w:rPr>
        <w:t>融</w:t>
      </w:r>
      <w:r>
        <w:rPr>
          <w:rFonts w:hint="default" w:ascii="Times New Roman" w:hAnsi="Times New Roman" w:cs="Times New Roman"/>
          <w:color w:val="auto"/>
        </w:rPr>
        <w:t>合等数字营销手段，提升本地特色农产品知名度和美誉度，促进农产品出村进城工程。支持农产品的电子商务，</w:t>
      </w:r>
      <w:r>
        <w:rPr>
          <w:rFonts w:hint="default" w:ascii="Times New Roman" w:hAnsi="Times New Roman" w:cs="Times New Roman"/>
          <w:color w:val="auto"/>
          <w:lang w:val="en-US" w:eastAsia="zh-CN"/>
        </w:rPr>
        <w:t>大力推进电商主体建设，</w:t>
      </w:r>
      <w:r>
        <w:rPr>
          <w:rFonts w:hint="default" w:ascii="Times New Roman" w:hAnsi="Times New Roman" w:cs="Times New Roman"/>
          <w:color w:val="auto"/>
        </w:rPr>
        <w:t>鼓励各类主体举办农产品线上营销促销活动，引导经营主体选择合适的产品、扩大流量，“十五五”期间吸引和集聚平台、服务商、头部主播、重点MCN</w:t>
      </w:r>
      <w:r>
        <w:rPr>
          <w:rFonts w:hint="default" w:ascii="Times New Roman" w:hAnsi="Times New Roman" w:cs="Times New Roman"/>
          <w:color w:val="auto"/>
          <w:vertAlign w:val="superscript"/>
        </w:rPr>
        <w:footnoteReference w:id="7"/>
      </w:r>
      <w:r>
        <w:rPr>
          <w:rFonts w:hint="default" w:ascii="Times New Roman" w:hAnsi="Times New Roman" w:cs="Times New Roman"/>
          <w:color w:val="auto"/>
        </w:rPr>
        <w:t>机构等优质资源，积极引进和培养直播电商高端人才，规范建设，完善直播治理体系，完善直播电商生态。发展</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完善</w:t>
      </w:r>
      <w:r>
        <w:rPr>
          <w:rFonts w:hint="default" w:ascii="Times New Roman" w:hAnsi="Times New Roman" w:cs="Times New Roman"/>
          <w:color w:val="auto"/>
        </w:rPr>
        <w:t>农产品数字化物流系统。</w:t>
      </w:r>
    </w:p>
    <w:p w14:paraId="2E5E046D">
      <w:pPr>
        <w:pStyle w:val="9"/>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强化农业招商引资</w:t>
      </w:r>
      <w:r>
        <w:rPr>
          <w:rFonts w:hint="default" w:ascii="Times New Roman" w:hAnsi="Times New Roman" w:cs="Times New Roman"/>
          <w:color w:val="auto"/>
          <w:lang w:val="en-US" w:eastAsia="zh-CN"/>
        </w:rPr>
        <w:t>。</w:t>
      </w:r>
      <w:r>
        <w:rPr>
          <w:rFonts w:hint="default" w:ascii="Times New Roman" w:hAnsi="Times New Roman" w:cs="Times New Roman"/>
          <w:color w:val="auto"/>
        </w:rPr>
        <w:t>健全招商机制，完善招商组织系统，建强招商队伍，深入乡村振兴专项行动</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通过</w:t>
      </w:r>
      <w:r>
        <w:rPr>
          <w:rFonts w:hint="default" w:ascii="Times New Roman" w:hAnsi="Times New Roman" w:cs="Times New Roman"/>
          <w:color w:val="auto"/>
        </w:rPr>
        <w:t>举办农业专题招商</w:t>
      </w:r>
      <w:r>
        <w:rPr>
          <w:rFonts w:hint="default" w:ascii="Times New Roman" w:hAnsi="Times New Roman" w:cs="Times New Roman"/>
          <w:color w:val="auto"/>
          <w:lang w:eastAsia="zh-CN"/>
        </w:rPr>
        <w:t>、</w:t>
      </w:r>
      <w:r>
        <w:rPr>
          <w:rFonts w:hint="default" w:ascii="Times New Roman" w:hAnsi="Times New Roman" w:cs="Times New Roman"/>
          <w:color w:val="auto"/>
        </w:rPr>
        <w:t>农民丰收节、农业产业项目招引</w:t>
      </w:r>
      <w:r>
        <w:rPr>
          <w:rFonts w:hint="default" w:ascii="Times New Roman" w:hAnsi="Times New Roman" w:cs="Times New Roman"/>
          <w:color w:val="auto"/>
          <w:lang w:val="en-US" w:eastAsia="zh-CN"/>
        </w:rPr>
        <w:t>等</w:t>
      </w:r>
      <w:r>
        <w:rPr>
          <w:rFonts w:hint="default" w:ascii="Times New Roman" w:hAnsi="Times New Roman" w:cs="Times New Roman"/>
          <w:color w:val="auto"/>
        </w:rPr>
        <w:t>推介活动</w:t>
      </w:r>
      <w:r>
        <w:rPr>
          <w:rFonts w:hint="default" w:ascii="Times New Roman" w:hAnsi="Times New Roman" w:cs="Times New Roman"/>
          <w:color w:val="auto"/>
          <w:lang w:eastAsia="zh-CN"/>
        </w:rPr>
        <w:t>，</w:t>
      </w:r>
      <w:r>
        <w:rPr>
          <w:rFonts w:hint="default" w:ascii="Times New Roman" w:hAnsi="Times New Roman" w:cs="Times New Roman"/>
          <w:color w:val="auto"/>
        </w:rPr>
        <w:t>围绕农业提质增效强基、农业基础提升改造、产业融合发展强链、绿色转型示范引领、科技与人才赋能、生态美丽宜居乡村</w:t>
      </w:r>
      <w:r>
        <w:rPr>
          <w:rFonts w:hint="default" w:ascii="Times New Roman" w:hAnsi="Times New Roman" w:cs="Times New Roman"/>
          <w:color w:val="auto"/>
          <w:lang w:val="en-US" w:eastAsia="zh-CN"/>
        </w:rPr>
        <w:t>建设、城乡融合发展等，</w:t>
      </w:r>
      <w:r>
        <w:rPr>
          <w:rFonts w:hint="default" w:ascii="Times New Roman" w:hAnsi="Times New Roman" w:cs="Times New Roman"/>
          <w:color w:val="auto"/>
        </w:rPr>
        <w:t>开展精准招商</w:t>
      </w:r>
      <w:r>
        <w:rPr>
          <w:rFonts w:hint="default" w:ascii="Times New Roman" w:hAnsi="Times New Roman" w:cs="Times New Roman"/>
          <w:color w:val="auto"/>
          <w:lang w:eastAsia="zh-CN"/>
        </w:rPr>
        <w:t>；</w:t>
      </w:r>
      <w:r>
        <w:rPr>
          <w:rFonts w:hint="default" w:ascii="Times New Roman" w:hAnsi="Times New Roman" w:cs="Times New Roman"/>
          <w:color w:val="auto"/>
        </w:rPr>
        <w:t>瞄准沪苏、央企和头部企业</w:t>
      </w:r>
      <w:r>
        <w:rPr>
          <w:rFonts w:hint="default" w:ascii="Times New Roman" w:hAnsi="Times New Roman" w:cs="Times New Roman"/>
          <w:color w:val="auto"/>
          <w:lang w:eastAsia="zh-CN"/>
        </w:rPr>
        <w:t>，</w:t>
      </w:r>
      <w:r>
        <w:rPr>
          <w:rFonts w:hint="default" w:ascii="Times New Roman" w:hAnsi="Times New Roman" w:cs="Times New Roman"/>
          <w:color w:val="auto"/>
        </w:rPr>
        <w:t>承接农业产业转移，建设一批土地利用率高、附加值高、联农带农强</w:t>
      </w:r>
      <w:r>
        <w:rPr>
          <w:rFonts w:hint="default" w:ascii="Times New Roman" w:hAnsi="Times New Roman" w:cs="Times New Roman"/>
          <w:color w:val="auto"/>
          <w:lang w:val="en-US" w:eastAsia="zh-CN"/>
        </w:rPr>
        <w:t>的重大</w:t>
      </w:r>
      <w:r>
        <w:rPr>
          <w:rFonts w:hint="default" w:ascii="Times New Roman" w:hAnsi="Times New Roman" w:cs="Times New Roman"/>
          <w:color w:val="auto"/>
        </w:rPr>
        <w:t>项目</w:t>
      </w:r>
      <w:r>
        <w:rPr>
          <w:rFonts w:hint="default" w:ascii="Times New Roman" w:hAnsi="Times New Roman" w:cs="Times New Roman"/>
          <w:color w:val="auto"/>
          <w:lang w:eastAsia="zh-CN"/>
        </w:rPr>
        <w:t>；</w:t>
      </w:r>
      <w:r>
        <w:rPr>
          <w:rFonts w:hint="default" w:ascii="Times New Roman" w:hAnsi="Times New Roman" w:cs="Times New Roman"/>
          <w:color w:val="auto"/>
        </w:rPr>
        <w:t>重点</w:t>
      </w:r>
      <w:r>
        <w:rPr>
          <w:rFonts w:hint="default" w:ascii="Times New Roman" w:hAnsi="Times New Roman" w:cs="Times New Roman"/>
          <w:color w:val="auto"/>
          <w:lang w:eastAsia="zh-CN"/>
        </w:rPr>
        <w:t>招引</w:t>
      </w:r>
      <w:r>
        <w:rPr>
          <w:rFonts w:hint="default" w:ascii="Times New Roman" w:hAnsi="Times New Roman" w:cs="Times New Roman"/>
          <w:color w:val="auto"/>
        </w:rPr>
        <w:t>功能食品、冻干食品、果汁果酱、生物提取等农产品精深加工方面</w:t>
      </w:r>
      <w:r>
        <w:rPr>
          <w:rFonts w:hint="default" w:ascii="Times New Roman" w:hAnsi="Times New Roman" w:cs="Times New Roman"/>
          <w:color w:val="auto"/>
          <w:lang w:val="en-US" w:eastAsia="zh-CN"/>
        </w:rPr>
        <w:t>以及</w:t>
      </w:r>
      <w:r>
        <w:rPr>
          <w:rFonts w:hint="default" w:ascii="Times New Roman" w:hAnsi="Times New Roman" w:cs="Times New Roman"/>
          <w:color w:val="auto"/>
        </w:rPr>
        <w:t>现代设施农业、农文旅融合、农村电商、生物农业、智慧农业等高技术农业项目和航空育种产业化项目。“十五五”期间每年确保新建农业农村重大项目超过20个/年，完成投资20亿元/年以上。</w:t>
      </w:r>
    </w:p>
    <w:bookmarkEnd w:id="77"/>
    <w:p w14:paraId="7E387919">
      <w:pPr>
        <w:pStyle w:val="4"/>
        <w:pageBreakBefore w:val="0"/>
        <w:widowControl w:val="0"/>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楷体_GB2312" w:cs="Times New Roman"/>
          <w:color w:val="auto"/>
          <w:lang w:eastAsia="zh-CN"/>
        </w:rPr>
      </w:pPr>
      <w:bookmarkStart w:id="78" w:name="_Toc6744"/>
      <w:bookmarkStart w:id="79" w:name="_Toc1426413885"/>
      <w:r>
        <w:rPr>
          <w:rFonts w:hint="default" w:ascii="Times New Roman" w:hAnsi="Times New Roman" w:cs="Times New Roman"/>
          <w:color w:val="auto"/>
        </w:rPr>
        <w:t>（三）促进产业</w:t>
      </w:r>
      <w:r>
        <w:rPr>
          <w:rFonts w:hint="default" w:ascii="Times New Roman" w:hAnsi="Times New Roman" w:cs="Times New Roman"/>
          <w:color w:val="auto"/>
          <w:lang w:eastAsia="zh-CN"/>
        </w:rPr>
        <w:t>集群</w:t>
      </w:r>
      <w:r>
        <w:rPr>
          <w:rFonts w:hint="default" w:ascii="Times New Roman" w:hAnsi="Times New Roman" w:cs="Times New Roman"/>
          <w:color w:val="auto"/>
        </w:rPr>
        <w:t>集聚</w:t>
      </w:r>
      <w:bookmarkEnd w:id="78"/>
      <w:bookmarkEnd w:id="79"/>
    </w:p>
    <w:p w14:paraId="612317AE">
      <w:pPr>
        <w:pageBreakBefore w:val="0"/>
        <w:widowControl w:val="0"/>
        <w:kinsoku/>
        <w:wordWrap/>
        <w:overflowPunct/>
        <w:topLinePunct w:val="0"/>
        <w:autoSpaceDE/>
        <w:autoSpaceDN/>
        <w:bidi w:val="0"/>
        <w:adjustRightInd/>
        <w:snapToGrid/>
        <w:spacing w:line="560" w:lineRule="exact"/>
        <w:ind w:left="0" w:leftChars="0"/>
        <w:textAlignment w:val="auto"/>
        <w:rPr>
          <w:rFonts w:hint="default" w:ascii="Times New Roman" w:hAnsi="Times New Roman" w:cs="Times New Roman"/>
          <w:color w:val="auto"/>
        </w:rPr>
      </w:pPr>
      <w:bookmarkStart w:id="80" w:name="_Toc1797290950"/>
      <w:r>
        <w:rPr>
          <w:rFonts w:hint="default" w:ascii="Times New Roman" w:hAnsi="Times New Roman" w:cs="Times New Roman"/>
          <w:b/>
          <w:bCs/>
          <w:color w:val="auto"/>
          <w:lang w:val="en-US" w:eastAsia="zh-CN"/>
        </w:rPr>
        <w:t>积极争创国家</w:t>
      </w:r>
      <w:r>
        <w:rPr>
          <w:rFonts w:hint="default" w:ascii="Times New Roman" w:hAnsi="Times New Roman" w:cs="Times New Roman"/>
          <w:b/>
          <w:bCs/>
          <w:color w:val="auto"/>
        </w:rPr>
        <w:t>现代农业产业园</w:t>
      </w:r>
      <w:bookmarkEnd w:id="80"/>
      <w:r>
        <w:rPr>
          <w:rFonts w:hint="default" w:ascii="Times New Roman" w:hAnsi="Times New Roman" w:cs="Times New Roman"/>
          <w:b/>
          <w:bCs/>
          <w:color w:val="auto"/>
          <w:lang w:eastAsia="zh-CN"/>
        </w:rPr>
        <w:t>。</w:t>
      </w:r>
      <w:r>
        <w:rPr>
          <w:rFonts w:hint="default" w:ascii="Times New Roman" w:hAnsi="Times New Roman" w:cs="Times New Roman"/>
          <w:color w:val="auto"/>
        </w:rPr>
        <w:t>持续</w:t>
      </w:r>
      <w:r>
        <w:rPr>
          <w:rFonts w:hint="default" w:ascii="Times New Roman" w:hAnsi="Times New Roman" w:cs="Times New Roman"/>
          <w:color w:val="auto"/>
          <w:lang w:val="en"/>
        </w:rPr>
        <w:t>建设国家农村产业融合发展示范园，</w:t>
      </w:r>
      <w:r>
        <w:rPr>
          <w:rFonts w:hint="default" w:ascii="Times New Roman" w:hAnsi="Times New Roman" w:cs="Times New Roman"/>
          <w:color w:val="auto"/>
        </w:rPr>
        <w:t>总结提炼园区</w:t>
      </w:r>
      <w:r>
        <w:rPr>
          <w:rFonts w:hint="eastAsia" w:ascii="Times New Roman" w:hAnsi="Times New Roman" w:cs="Times New Roman"/>
          <w:color w:val="auto"/>
          <w:lang w:eastAsia="zh-CN"/>
        </w:rPr>
        <w:t>建设</w:t>
      </w:r>
      <w:r>
        <w:rPr>
          <w:rFonts w:hint="default" w:ascii="Times New Roman" w:hAnsi="Times New Roman" w:cs="Times New Roman"/>
          <w:color w:val="auto"/>
        </w:rPr>
        <w:t>过程中做法，形成可复制、可推广的经验。发挥引领效应进一步推动园区内其他一二三产业深度融合，形成更多的“农业+”业态；延伸农业产业链，拓展农业多种功能；紧密园区内部</w:t>
      </w:r>
      <w:r>
        <w:rPr>
          <w:rFonts w:hint="default" w:ascii="Times New Roman" w:hAnsi="Times New Roman" w:cs="Times New Roman"/>
          <w:color w:val="auto"/>
          <w:lang w:val="en-US" w:eastAsia="zh-CN"/>
        </w:rPr>
        <w:t>的</w:t>
      </w:r>
      <w:r>
        <w:rPr>
          <w:rFonts w:hint="default" w:ascii="Times New Roman" w:hAnsi="Times New Roman" w:cs="Times New Roman"/>
          <w:color w:val="auto"/>
        </w:rPr>
        <w:t>利益联结机制，在企业与小农</w:t>
      </w:r>
      <w:r>
        <w:rPr>
          <w:rFonts w:hint="default" w:ascii="Times New Roman" w:hAnsi="Times New Roman" w:cs="Times New Roman"/>
          <w:color w:val="auto"/>
          <w:lang w:val="en-US" w:eastAsia="zh-CN"/>
        </w:rPr>
        <w:t>户</w:t>
      </w:r>
      <w:r>
        <w:rPr>
          <w:rFonts w:hint="default" w:ascii="Times New Roman" w:hAnsi="Times New Roman" w:cs="Times New Roman"/>
          <w:color w:val="auto"/>
        </w:rPr>
        <w:t>、农民之间有机融合、共享发展上下功夫</w:t>
      </w:r>
      <w:r>
        <w:rPr>
          <w:rFonts w:hint="default" w:ascii="Times New Roman" w:hAnsi="Times New Roman" w:cs="Times New Roman"/>
          <w:color w:val="auto"/>
          <w:lang w:val="en"/>
        </w:rPr>
        <w:t>；</w:t>
      </w:r>
      <w:r>
        <w:rPr>
          <w:rFonts w:hint="default" w:ascii="Times New Roman" w:hAnsi="Times New Roman" w:cs="Times New Roman"/>
          <w:color w:val="auto"/>
        </w:rPr>
        <w:t>持续建设公共服务平台、壮大新型农业经营主体、提升服务能力、改善环境等。</w:t>
      </w:r>
      <w:r>
        <w:rPr>
          <w:rFonts w:hint="default" w:ascii="Times New Roman" w:hAnsi="Times New Roman" w:cs="Times New Roman"/>
          <w:color w:val="auto"/>
          <w:lang w:val="en-US" w:eastAsia="zh-CN"/>
        </w:rPr>
        <w:t>依托“四良”</w:t>
      </w:r>
      <w:r>
        <w:rPr>
          <w:rStyle w:val="29"/>
          <w:rFonts w:hint="default" w:ascii="Times New Roman" w:hAnsi="Times New Roman" w:cs="Times New Roman"/>
          <w:color w:val="auto"/>
        </w:rPr>
        <w:footnoteReference w:id="8"/>
      </w:r>
      <w:r>
        <w:rPr>
          <w:rFonts w:hint="default" w:ascii="Times New Roman" w:hAnsi="Times New Roman" w:cs="Times New Roman"/>
          <w:color w:val="auto"/>
        </w:rPr>
        <w:t>，以“工业化”思维持续建设市级现代农业高质量发展产业园区</w:t>
      </w:r>
      <w:r>
        <w:rPr>
          <w:rFonts w:hint="default" w:ascii="Times New Roman" w:hAnsi="Times New Roman" w:cs="Times New Roman"/>
          <w:color w:val="auto"/>
          <w:lang w:val="en"/>
        </w:rPr>
        <w:t>。</w:t>
      </w:r>
      <w:r>
        <w:rPr>
          <w:rFonts w:hint="default" w:ascii="Times New Roman" w:hAnsi="Times New Roman" w:cs="Times New Roman"/>
          <w:color w:val="auto"/>
        </w:rPr>
        <w:t>“十五五”期间在省级海门现代农业产业园的基础上，鼓励园内企业及时发现市场机会，开展多元化、异质性经营，加大投资，积极申报国家级现代农业产业园。</w:t>
      </w:r>
    </w:p>
    <w:p w14:paraId="2BF80CD2">
      <w:pPr>
        <w:pageBreakBefore w:val="0"/>
        <w:wordWrap/>
        <w:overflowPunct/>
        <w:topLinePunct w:val="0"/>
        <w:bidi w:val="0"/>
        <w:ind w:left="0" w:leftChars="0"/>
        <w:rPr>
          <w:rFonts w:hint="default" w:ascii="Times New Roman" w:hAnsi="Times New Roman" w:cs="Times New Roman"/>
          <w:color w:val="auto"/>
        </w:rPr>
      </w:pPr>
      <w:bookmarkStart w:id="81" w:name="_Toc564017948"/>
      <w:r>
        <w:rPr>
          <w:rFonts w:hint="default" w:ascii="Times New Roman" w:hAnsi="Times New Roman" w:cs="Times New Roman"/>
          <w:b/>
          <w:bCs/>
          <w:color w:val="auto"/>
          <w:lang w:val="en-US" w:eastAsia="zh-CN"/>
        </w:rPr>
        <w:t>打造国家级</w:t>
      </w:r>
      <w:r>
        <w:rPr>
          <w:rFonts w:hint="default" w:ascii="Times New Roman" w:hAnsi="Times New Roman" w:cs="Times New Roman"/>
          <w:b/>
          <w:bCs/>
          <w:color w:val="auto"/>
        </w:rPr>
        <w:t>产业</w:t>
      </w:r>
      <w:bookmarkEnd w:id="81"/>
      <w:r>
        <w:rPr>
          <w:rFonts w:hint="default" w:ascii="Times New Roman" w:hAnsi="Times New Roman" w:cs="Times New Roman"/>
          <w:b/>
          <w:bCs/>
          <w:color w:val="auto"/>
          <w:lang w:val="en-US" w:eastAsia="zh-CN"/>
        </w:rPr>
        <w:t>强镇</w:t>
      </w:r>
      <w:r>
        <w:rPr>
          <w:rFonts w:hint="default" w:ascii="Times New Roman" w:hAnsi="Times New Roman" w:cs="Times New Roman"/>
          <w:b/>
          <w:bCs/>
          <w:color w:val="auto"/>
          <w:lang w:eastAsia="zh-CN"/>
        </w:rPr>
        <w:t>。</w:t>
      </w:r>
      <w:r>
        <w:rPr>
          <w:rFonts w:hint="default" w:ascii="Times New Roman" w:hAnsi="Times New Roman" w:cs="Times New Roman"/>
          <w:color w:val="auto"/>
        </w:rPr>
        <w:t>集聚资源、集中力量，打造富有特色、规模适中、带动力强的特色产业集聚区，</w:t>
      </w:r>
      <w:r>
        <w:rPr>
          <w:rFonts w:hint="default" w:ascii="Times New Roman" w:hAnsi="Times New Roman" w:cs="Times New Roman"/>
          <w:color w:val="auto"/>
          <w:lang w:eastAsia="zh-CN"/>
        </w:rPr>
        <w:t>逐步</w:t>
      </w:r>
      <w:r>
        <w:rPr>
          <w:rFonts w:hint="default" w:ascii="Times New Roman" w:hAnsi="Times New Roman" w:cs="Times New Roman"/>
          <w:color w:val="auto"/>
        </w:rPr>
        <w:t>打造</w:t>
      </w:r>
      <w:r>
        <w:rPr>
          <w:rFonts w:hint="default" w:ascii="Times New Roman" w:hAnsi="Times New Roman" w:cs="Times New Roman"/>
          <w:color w:val="auto"/>
          <w:lang w:val="en-US" w:eastAsia="zh-CN"/>
        </w:rPr>
        <w:t>特色</w:t>
      </w:r>
      <w:r>
        <w:rPr>
          <w:rFonts w:hint="default" w:ascii="Times New Roman" w:hAnsi="Times New Roman" w:cs="Times New Roman"/>
          <w:color w:val="auto"/>
        </w:rPr>
        <w:t>产业集群。深入谋划发展壮大乡村特色产业，稳定绿色</w:t>
      </w:r>
      <w:r>
        <w:rPr>
          <w:rFonts w:hint="default" w:ascii="Times New Roman" w:hAnsi="Times New Roman" w:cs="Times New Roman"/>
          <w:color w:val="auto"/>
          <w:lang w:eastAsia="zh-CN"/>
        </w:rPr>
        <w:t>蔬果和海门肉鸡</w:t>
      </w:r>
      <w:r>
        <w:rPr>
          <w:rFonts w:hint="default" w:ascii="Times New Roman" w:hAnsi="Times New Roman" w:cs="Times New Roman"/>
          <w:color w:val="auto"/>
        </w:rPr>
        <w:t>，扩大</w:t>
      </w:r>
      <w:r>
        <w:rPr>
          <w:rFonts w:hint="default" w:ascii="Times New Roman" w:hAnsi="Times New Roman" w:cs="Times New Roman"/>
          <w:color w:val="auto"/>
          <w:lang w:eastAsia="zh-CN"/>
        </w:rPr>
        <w:t>海门草莓、海蜜甜瓜、万年香沙芋艿、海门青皮长茄</w:t>
      </w:r>
      <w:r>
        <w:rPr>
          <w:rFonts w:hint="default" w:ascii="Times New Roman" w:hAnsi="Times New Roman" w:cs="Times New Roman"/>
          <w:color w:val="auto"/>
        </w:rPr>
        <w:t>等单一品种规模，逐步形成</w:t>
      </w:r>
      <w:r>
        <w:rPr>
          <w:rFonts w:hint="default" w:ascii="Times New Roman" w:hAnsi="Times New Roman" w:cs="Times New Roman"/>
          <w:color w:val="auto"/>
          <w:lang w:val="en-US" w:eastAsia="zh-CN"/>
        </w:rPr>
        <w:t>特色</w:t>
      </w:r>
      <w:r>
        <w:rPr>
          <w:rFonts w:hint="default" w:ascii="Times New Roman" w:hAnsi="Times New Roman" w:cs="Times New Roman"/>
          <w:color w:val="auto"/>
        </w:rPr>
        <w:t>产业集聚。壮大海门山羊、海门大米、特粮特经、“四青作物”</w:t>
      </w:r>
      <w:r>
        <w:rPr>
          <w:rFonts w:hint="default" w:ascii="Times New Roman" w:hAnsi="Times New Roman" w:cs="Times New Roman"/>
          <w:color w:val="auto"/>
          <w:lang w:val="en-US" w:eastAsia="zh-CN"/>
        </w:rPr>
        <w:t>四大</w:t>
      </w:r>
      <w:r>
        <w:rPr>
          <w:rFonts w:hint="default" w:ascii="Times New Roman" w:hAnsi="Times New Roman" w:cs="Times New Roman"/>
          <w:color w:val="auto"/>
        </w:rPr>
        <w:t>特色产业，吸引资本聚镇、能人入镇、技术进镇，瞄准国内和国际市场，打造名牌</w:t>
      </w:r>
      <w:r>
        <w:rPr>
          <w:rFonts w:hint="default" w:ascii="Times New Roman" w:hAnsi="Times New Roman" w:cs="Times New Roman"/>
          <w:color w:val="auto"/>
          <w:lang w:eastAsia="zh-CN"/>
        </w:rPr>
        <w:t>，</w:t>
      </w:r>
      <w:r>
        <w:rPr>
          <w:rFonts w:hint="default" w:ascii="Times New Roman" w:hAnsi="Times New Roman" w:cs="Times New Roman"/>
          <w:color w:val="auto"/>
        </w:rPr>
        <w:t>延长完整的产业链，形成“圈”状集聚和产业集群</w:t>
      </w:r>
      <w:r>
        <w:rPr>
          <w:rFonts w:hint="default" w:ascii="Times New Roman" w:hAnsi="Times New Roman" w:cs="Times New Roman"/>
          <w:color w:val="auto"/>
          <w:lang w:eastAsia="zh-CN"/>
        </w:rPr>
        <w:t>，</w:t>
      </w:r>
      <w:r>
        <w:rPr>
          <w:rFonts w:hint="default" w:ascii="Times New Roman" w:hAnsi="Times New Roman" w:cs="Times New Roman"/>
          <w:color w:val="auto"/>
        </w:rPr>
        <w:t>共享基础设施和信息对称，共同抵御自然和市场风险。“十五五”期间</w:t>
      </w:r>
      <w:r>
        <w:rPr>
          <w:rFonts w:hint="default" w:ascii="Times New Roman" w:hAnsi="Times New Roman" w:cs="Times New Roman"/>
          <w:color w:val="auto"/>
          <w:lang w:val="en-US" w:eastAsia="zh-CN"/>
        </w:rPr>
        <w:t>积极</w:t>
      </w:r>
      <w:r>
        <w:rPr>
          <w:rFonts w:hint="default" w:ascii="Times New Roman" w:hAnsi="Times New Roman" w:cs="Times New Roman"/>
          <w:color w:val="auto"/>
        </w:rPr>
        <w:t>申报</w:t>
      </w:r>
      <w:r>
        <w:rPr>
          <w:rFonts w:hint="default" w:ascii="Times New Roman" w:hAnsi="Times New Roman" w:cs="Times New Roman"/>
          <w:color w:val="auto"/>
          <w:lang w:eastAsia="zh-CN"/>
        </w:rPr>
        <w:t>四甲镇、</w:t>
      </w:r>
      <w:r>
        <w:rPr>
          <w:rFonts w:hint="default" w:ascii="Times New Roman" w:hAnsi="Times New Roman" w:cs="Times New Roman"/>
          <w:color w:val="auto"/>
        </w:rPr>
        <w:t>悦来镇为国家</w:t>
      </w:r>
      <w:r>
        <w:rPr>
          <w:rFonts w:hint="default" w:ascii="Times New Roman" w:hAnsi="Times New Roman" w:cs="Times New Roman"/>
          <w:color w:val="auto"/>
          <w:lang w:eastAsia="zh-CN"/>
        </w:rPr>
        <w:t>农业</w:t>
      </w:r>
      <w:r>
        <w:rPr>
          <w:rFonts w:hint="default" w:ascii="Times New Roman" w:hAnsi="Times New Roman" w:cs="Times New Roman"/>
          <w:color w:val="auto"/>
        </w:rPr>
        <w:t>产业强镇。</w:t>
      </w:r>
    </w:p>
    <w:p w14:paraId="73A9FC07">
      <w:pPr>
        <w:pageBreakBefore w:val="0"/>
        <w:wordWrap/>
        <w:overflowPunct/>
        <w:topLinePunct w:val="0"/>
        <w:bidi w:val="0"/>
        <w:ind w:left="0" w:leftChars="0"/>
        <w:rPr>
          <w:rFonts w:hint="default" w:ascii="Times New Roman" w:hAnsi="Times New Roman" w:cs="Times New Roman"/>
          <w:color w:val="auto"/>
        </w:rPr>
      </w:pPr>
      <w:bookmarkStart w:id="82" w:name="_Toc456834178"/>
      <w:r>
        <w:rPr>
          <w:rFonts w:hint="default" w:ascii="Times New Roman" w:hAnsi="Times New Roman" w:cs="Times New Roman"/>
          <w:b/>
          <w:bCs/>
          <w:color w:val="auto"/>
        </w:rPr>
        <w:t>做大做强农产品加工集中区</w:t>
      </w:r>
      <w:r>
        <w:rPr>
          <w:rFonts w:hint="default" w:ascii="Times New Roman" w:hAnsi="Times New Roman" w:cs="Times New Roman"/>
          <w:b/>
          <w:bCs/>
          <w:color w:val="auto"/>
          <w:lang w:val="en-US" w:eastAsia="zh-CN"/>
        </w:rPr>
        <w:t>群</w:t>
      </w:r>
      <w:bookmarkEnd w:id="82"/>
      <w:r>
        <w:rPr>
          <w:rFonts w:hint="default" w:ascii="Times New Roman" w:hAnsi="Times New Roman" w:cs="Times New Roman"/>
          <w:b/>
          <w:bCs/>
          <w:color w:val="auto"/>
          <w:lang w:val="en-US" w:eastAsia="zh-CN"/>
        </w:rPr>
        <w:t>。</w:t>
      </w:r>
      <w:r>
        <w:rPr>
          <w:rFonts w:hint="default" w:ascii="Times New Roman" w:hAnsi="Times New Roman" w:cs="Times New Roman"/>
          <w:color w:val="auto"/>
          <w:lang w:val="en-US" w:eastAsia="zh-CN"/>
        </w:rPr>
        <w:t>实施</w:t>
      </w:r>
      <w:r>
        <w:rPr>
          <w:rFonts w:hint="default" w:ascii="Times New Roman" w:hAnsi="Times New Roman" w:cs="Times New Roman"/>
          <w:color w:val="auto"/>
        </w:rPr>
        <w:t>科技赋能农产品加工业行动，支持农产品加工企业牵头开展关键技术和工艺设备联合攻关，大力发展对产业带动力强、对农民增收贡献度大的农产品加工业；加强与高校合作，在加工装备研制、精深加工工艺等环节加大关键技术的研发和转化应用，满足健康消费需求；支持加工环节智能化改造和数字化转型，开发即食、即热、即烹、即配食品和宠物食品；建设预制菜生产加工技术的中试和成果转化基地，推动预制菜生产规模化、产品标准化、技术现代化，形成一批规模化、数智化的、带动能力强的农业龙头企业。</w:t>
      </w:r>
      <w:r>
        <w:rPr>
          <w:rFonts w:hint="default" w:ascii="Times New Roman" w:hAnsi="Times New Roman" w:cs="Times New Roman"/>
          <w:color w:val="auto"/>
          <w:lang w:val="en-US" w:eastAsia="zh-CN"/>
        </w:rPr>
        <w:t>大力实施乐轻饮料和橙亿食品等加工项目，</w:t>
      </w:r>
      <w:r>
        <w:rPr>
          <w:rFonts w:hint="default" w:ascii="Times New Roman" w:hAnsi="Times New Roman" w:cs="Times New Roman"/>
          <w:color w:val="auto"/>
        </w:rPr>
        <w:t>“十五五”期</w:t>
      </w:r>
      <w:r>
        <w:rPr>
          <w:rFonts w:hint="default" w:ascii="Times New Roman" w:hAnsi="Times New Roman" w:cs="Times New Roman"/>
          <w:color w:val="auto"/>
          <w:lang w:val="en-US" w:eastAsia="zh-CN"/>
        </w:rPr>
        <w:t>间</w:t>
      </w:r>
      <w:r>
        <w:rPr>
          <w:rFonts w:hint="default" w:ascii="Times New Roman" w:hAnsi="Times New Roman" w:cs="Times New Roman"/>
          <w:color w:val="auto"/>
        </w:rPr>
        <w:t>规模以上农产品加工业产值</w:t>
      </w:r>
      <w:r>
        <w:rPr>
          <w:rFonts w:hint="default" w:ascii="Times New Roman" w:hAnsi="Times New Roman" w:cs="Times New Roman"/>
          <w:color w:val="auto"/>
          <w:lang w:val="en-US" w:eastAsia="zh-CN"/>
        </w:rPr>
        <w:t>突破150</w:t>
      </w:r>
      <w:r>
        <w:rPr>
          <w:rFonts w:hint="default" w:ascii="Times New Roman" w:hAnsi="Times New Roman" w:cs="Times New Roman"/>
          <w:color w:val="auto"/>
        </w:rPr>
        <w:t>亿元</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培育</w:t>
      </w:r>
      <w:r>
        <w:rPr>
          <w:rFonts w:hint="default" w:ascii="Times New Roman" w:hAnsi="Times New Roman" w:cs="Times New Roman"/>
          <w:color w:val="auto"/>
        </w:rPr>
        <w:t>营业收入超10</w:t>
      </w:r>
      <w:r>
        <w:rPr>
          <w:rFonts w:hint="default" w:ascii="Times New Roman" w:hAnsi="Times New Roman" w:cs="Times New Roman"/>
          <w:color w:val="auto"/>
          <w:lang w:eastAsia="zh-CN"/>
        </w:rPr>
        <w:t>亿元</w:t>
      </w:r>
      <w:r>
        <w:rPr>
          <w:rFonts w:hint="default" w:ascii="Times New Roman" w:hAnsi="Times New Roman" w:cs="Times New Roman"/>
          <w:color w:val="auto"/>
        </w:rPr>
        <w:t>的农产品加工企业</w:t>
      </w:r>
      <w:r>
        <w:rPr>
          <w:rFonts w:hint="default" w:ascii="Times New Roman" w:hAnsi="Times New Roman" w:cs="Times New Roman"/>
          <w:color w:val="auto"/>
          <w:lang w:val="en-US" w:eastAsia="zh-CN"/>
        </w:rPr>
        <w:t>两</w:t>
      </w:r>
      <w:r>
        <w:rPr>
          <w:rFonts w:hint="default" w:ascii="Times New Roman" w:hAnsi="Times New Roman" w:cs="Times New Roman"/>
          <w:color w:val="auto"/>
        </w:rPr>
        <w:t>家。</w:t>
      </w:r>
    </w:p>
    <w:p w14:paraId="49C2CE7F">
      <w:pPr>
        <w:pageBreakBefore w:val="0"/>
        <w:wordWrap/>
        <w:overflowPunct/>
        <w:topLinePunct w:val="0"/>
        <w:bidi w:val="0"/>
        <w:ind w:left="0" w:leftChars="0"/>
        <w:rPr>
          <w:rFonts w:hint="default" w:ascii="Times New Roman" w:hAnsi="Times New Roman" w:cs="Times New Roman"/>
          <w:color w:val="auto"/>
          <w:lang w:val="en-US" w:eastAsia="zh-CN"/>
        </w:rPr>
      </w:pPr>
      <w:r>
        <w:rPr>
          <w:rFonts w:hint="default" w:ascii="Times New Roman" w:hAnsi="Times New Roman" w:cs="Times New Roman"/>
          <w:color w:val="auto"/>
        </w:rPr>
        <w:t>引导两个省级农产品加工集中区内的企业，盘活资产，积极利用农产品资源，加速科技成果向农业生产力的转化，保持农产品加工集中区良好的发展态势。加大规划和政策支持引导农产品加工集中区内的企业，形成集中区内的上下游产业链集聚，逐渐做大做强农产品加工集中区。“十五五”</w:t>
      </w:r>
      <w:r>
        <w:rPr>
          <w:rFonts w:hint="default" w:ascii="Times New Roman" w:hAnsi="Times New Roman" w:cs="Times New Roman"/>
          <w:color w:val="auto"/>
          <w:lang w:eastAsia="zh-CN"/>
        </w:rPr>
        <w:t>期间</w:t>
      </w:r>
      <w:r>
        <w:rPr>
          <w:rFonts w:hint="default" w:ascii="Times New Roman" w:hAnsi="Times New Roman" w:cs="Times New Roman"/>
          <w:color w:val="auto"/>
          <w:lang w:val="en-US" w:eastAsia="zh-CN"/>
        </w:rPr>
        <w:t>积极</w:t>
      </w:r>
      <w:r>
        <w:rPr>
          <w:rFonts w:hint="default" w:ascii="Times New Roman" w:hAnsi="Times New Roman" w:cs="Times New Roman"/>
          <w:color w:val="auto"/>
        </w:rPr>
        <w:t>申请</w:t>
      </w:r>
      <w:r>
        <w:rPr>
          <w:rFonts w:hint="default" w:ascii="Times New Roman" w:hAnsi="Times New Roman" w:cs="Times New Roman"/>
          <w:color w:val="auto"/>
          <w:lang w:val="en-US" w:eastAsia="zh-CN"/>
        </w:rPr>
        <w:t>海门港经开区</w:t>
      </w:r>
      <w:r>
        <w:rPr>
          <w:rFonts w:hint="default" w:ascii="Times New Roman" w:hAnsi="Times New Roman" w:cs="Times New Roman"/>
          <w:color w:val="auto"/>
          <w:lang w:eastAsia="zh-CN"/>
        </w:rPr>
        <w:t>（</w:t>
      </w:r>
      <w:r>
        <w:rPr>
          <w:rFonts w:hint="default" w:ascii="Times New Roman" w:hAnsi="Times New Roman" w:cs="Times New Roman"/>
          <w:color w:val="auto"/>
        </w:rPr>
        <w:t>包场镇</w:t>
      </w:r>
      <w:r>
        <w:rPr>
          <w:rFonts w:hint="default" w:ascii="Times New Roman" w:hAnsi="Times New Roman" w:cs="Times New Roman"/>
          <w:color w:val="auto"/>
          <w:lang w:eastAsia="zh-CN"/>
        </w:rPr>
        <w:t>）</w:t>
      </w:r>
      <w:r>
        <w:rPr>
          <w:rFonts w:hint="default" w:ascii="Times New Roman" w:hAnsi="Times New Roman" w:cs="Times New Roman"/>
          <w:color w:val="auto"/>
        </w:rPr>
        <w:t>为农产品加工集中区</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通过不懈努力，逐渐形成</w:t>
      </w:r>
      <w:r>
        <w:rPr>
          <w:rFonts w:hint="default" w:ascii="Times New Roman" w:hAnsi="Times New Roman" w:cs="Times New Roman"/>
          <w:color w:val="auto"/>
        </w:rPr>
        <w:t>农产品加工集中区</w:t>
      </w:r>
      <w:r>
        <w:rPr>
          <w:rFonts w:hint="default" w:ascii="Times New Roman" w:hAnsi="Times New Roman" w:cs="Times New Roman"/>
          <w:color w:val="auto"/>
          <w:lang w:val="en-US" w:eastAsia="zh-CN"/>
        </w:rPr>
        <w:t>群。</w:t>
      </w:r>
    </w:p>
    <w:p w14:paraId="209BEEF0">
      <w:pPr>
        <w:pStyle w:val="4"/>
        <w:pageBreakBefore w:val="0"/>
        <w:wordWrap/>
        <w:overflowPunct/>
        <w:topLinePunct w:val="0"/>
        <w:bidi w:val="0"/>
        <w:ind w:left="0" w:leftChars="0"/>
        <w:rPr>
          <w:rFonts w:hint="default" w:ascii="Times New Roman" w:hAnsi="Times New Roman" w:cs="Times New Roman"/>
          <w:color w:val="auto"/>
        </w:rPr>
      </w:pPr>
      <w:bookmarkStart w:id="83" w:name="_Toc1378213734"/>
      <w:bookmarkStart w:id="84" w:name="_Toc31725"/>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四</w:t>
      </w:r>
      <w:r>
        <w:rPr>
          <w:rFonts w:hint="default" w:ascii="Times New Roman" w:hAnsi="Times New Roman" w:cs="Times New Roman"/>
          <w:color w:val="auto"/>
          <w:lang w:eastAsia="zh-CN"/>
        </w:rPr>
        <w:t>）</w:t>
      </w:r>
      <w:r>
        <w:rPr>
          <w:rFonts w:hint="default" w:ascii="Times New Roman" w:hAnsi="Times New Roman" w:cs="Times New Roman"/>
          <w:color w:val="auto"/>
        </w:rPr>
        <w:t>打造农</w:t>
      </w:r>
      <w:r>
        <w:rPr>
          <w:rFonts w:hint="default" w:ascii="Times New Roman" w:hAnsi="Times New Roman" w:cs="Times New Roman"/>
          <w:color w:val="auto"/>
          <w:lang w:val="en-US" w:eastAsia="zh-CN"/>
        </w:rPr>
        <w:t>文</w:t>
      </w:r>
      <w:r>
        <w:rPr>
          <w:rFonts w:hint="default" w:ascii="Times New Roman" w:hAnsi="Times New Roman" w:cs="Times New Roman"/>
          <w:color w:val="auto"/>
        </w:rPr>
        <w:t>旅融合发展新高地</w:t>
      </w:r>
      <w:bookmarkEnd w:id="83"/>
      <w:bookmarkEnd w:id="84"/>
    </w:p>
    <w:p w14:paraId="136F43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default" w:ascii="Times New Roman" w:hAnsi="Times New Roman" w:eastAsia="仿宋_GB2312" w:cs="Times New Roman"/>
          <w:color w:val="auto"/>
          <w:sz w:val="32"/>
          <w:szCs w:val="32"/>
        </w:rPr>
      </w:pPr>
      <w:bookmarkStart w:id="85" w:name="_Toc552747602"/>
      <w:r>
        <w:rPr>
          <w:rFonts w:hint="default" w:ascii="Times New Roman" w:hAnsi="Times New Roman" w:cs="Times New Roman"/>
          <w:b/>
          <w:bCs/>
          <w:color w:val="auto"/>
          <w:lang w:val="en-US" w:eastAsia="zh-CN"/>
        </w:rPr>
        <w:t xml:space="preserve">  </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bCs/>
          <w:color w:val="auto"/>
          <w:sz w:val="32"/>
          <w:szCs w:val="32"/>
        </w:rPr>
        <w:t>推动农业生态价值转化</w:t>
      </w:r>
      <w:bookmarkEnd w:id="73"/>
      <w:bookmarkEnd w:id="85"/>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color w:val="auto"/>
          <w:sz w:val="32"/>
          <w:szCs w:val="32"/>
        </w:rPr>
        <w:t>深入推进文化产业赋能乡村振兴国家级试点，以发展都市农业为目标，以打造城乡融合示范为契机，健全生态产品价值实现机制，推动农业生态价值转化。拓展农业多种功能，整合海门山羊、绿色</w:t>
      </w:r>
      <w:r>
        <w:rPr>
          <w:rFonts w:hint="default" w:ascii="Times New Roman" w:hAnsi="Times New Roman" w:eastAsia="仿宋_GB2312" w:cs="Times New Roman"/>
          <w:color w:val="auto"/>
          <w:sz w:val="32"/>
          <w:szCs w:val="32"/>
          <w:lang w:eastAsia="zh-CN"/>
        </w:rPr>
        <w:t>蔬菜和水果</w:t>
      </w:r>
      <w:r>
        <w:rPr>
          <w:rFonts w:hint="default" w:ascii="Times New Roman" w:hAnsi="Times New Roman" w:eastAsia="仿宋_GB2312" w:cs="Times New Roman"/>
          <w:color w:val="auto"/>
          <w:sz w:val="32"/>
          <w:szCs w:val="32"/>
        </w:rPr>
        <w:t>、“四青”作物、特粮特经等农业资源和人文历史文化资源，做精沿江沿海</w:t>
      </w:r>
      <w:r>
        <w:rPr>
          <w:rFonts w:hint="default" w:ascii="Times New Roman" w:hAnsi="Times New Roman" w:eastAsia="仿宋_GB2312" w:cs="Times New Roman"/>
          <w:color w:val="auto"/>
          <w:sz w:val="32"/>
          <w:szCs w:val="32"/>
          <w:lang w:val="en-US" w:eastAsia="zh-CN"/>
        </w:rPr>
        <w:t>旅游风光</w:t>
      </w:r>
      <w:r>
        <w:rPr>
          <w:rFonts w:hint="default" w:ascii="Times New Roman" w:hAnsi="Times New Roman" w:eastAsia="仿宋_GB2312" w:cs="Times New Roman"/>
          <w:color w:val="auto"/>
          <w:sz w:val="32"/>
          <w:szCs w:val="32"/>
        </w:rPr>
        <w:t>带，有序、异质化发展农事体验等，把农业生产、农艺展示、农产品加工及旅游者体验农事活动，与农村生活融为一体，并与上下游的沿江沿海</w:t>
      </w:r>
      <w:r>
        <w:rPr>
          <w:rFonts w:hint="default" w:ascii="Times New Roman" w:hAnsi="Times New Roman" w:eastAsia="仿宋_GB2312" w:cs="Times New Roman"/>
          <w:color w:val="auto"/>
          <w:sz w:val="32"/>
          <w:szCs w:val="32"/>
          <w:lang w:val="en-US" w:eastAsia="zh-CN"/>
        </w:rPr>
        <w:t>旅游风光</w:t>
      </w:r>
      <w:r>
        <w:rPr>
          <w:rFonts w:hint="default" w:ascii="Times New Roman" w:hAnsi="Times New Roman" w:eastAsia="仿宋_GB2312" w:cs="Times New Roman"/>
          <w:color w:val="auto"/>
          <w:sz w:val="32"/>
          <w:szCs w:val="32"/>
        </w:rPr>
        <w:t>带有机</w:t>
      </w:r>
      <w:r>
        <w:rPr>
          <w:rFonts w:hint="default" w:ascii="Times New Roman" w:hAnsi="Times New Roman" w:eastAsia="仿宋_GB2312" w:cs="Times New Roman"/>
          <w:color w:val="auto"/>
          <w:sz w:val="32"/>
          <w:szCs w:val="32"/>
          <w:lang w:eastAsia="zh-CN"/>
        </w:rPr>
        <w:t>连通。</w:t>
      </w:r>
      <w:r>
        <w:rPr>
          <w:rFonts w:hint="default" w:ascii="Times New Roman" w:hAnsi="Times New Roman" w:eastAsia="仿宋_GB2312" w:cs="Times New Roman"/>
          <w:color w:val="auto"/>
          <w:sz w:val="32"/>
          <w:szCs w:val="32"/>
        </w:rPr>
        <w:t>推动休闲农业提质增效、提高农业生态价值转化，带动乡村百姓致富，打造名副其实的全国文化产业赋能乡村振兴示范区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“十五五”</w:t>
      </w:r>
      <w:r>
        <w:rPr>
          <w:rFonts w:hint="default" w:ascii="Times New Roman" w:hAnsi="Times New Roman" w:eastAsia="仿宋_GB2312" w:cs="Times New Roman"/>
          <w:color w:val="auto"/>
          <w:sz w:val="32"/>
          <w:szCs w:val="32"/>
          <w:lang w:val="en-US" w:eastAsia="zh-CN"/>
        </w:rPr>
        <w:t>期间</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打造“</w:t>
      </w:r>
      <w:r>
        <w:rPr>
          <w:rFonts w:hint="default" w:ascii="Times New Roman" w:hAnsi="Times New Roman" w:eastAsia="仿宋_GB2312" w:cs="Times New Roman"/>
          <w:color w:val="auto"/>
          <w:sz w:val="32"/>
          <w:szCs w:val="32"/>
        </w:rPr>
        <w:t>洲际花博园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春之道</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auto"/>
          <w:sz w:val="32"/>
          <w:szCs w:val="32"/>
          <w:lang w:eastAsia="zh-CN"/>
        </w:rPr>
        <w:t>农</w:t>
      </w:r>
      <w:r>
        <w:rPr>
          <w:rFonts w:hint="default" w:ascii="Times New Roman" w:hAnsi="Times New Roman" w:eastAsia="仿宋_GB2312" w:cs="Times New Roman"/>
          <w:color w:val="auto"/>
          <w:sz w:val="32"/>
          <w:szCs w:val="32"/>
          <w:lang w:val="en-US" w:eastAsia="zh-CN"/>
        </w:rPr>
        <w:t>文</w:t>
      </w:r>
      <w:r>
        <w:rPr>
          <w:rFonts w:hint="default" w:ascii="Times New Roman" w:hAnsi="Times New Roman" w:eastAsia="仿宋_GB2312" w:cs="Times New Roman"/>
          <w:color w:val="auto"/>
          <w:sz w:val="32"/>
          <w:szCs w:val="32"/>
          <w:lang w:eastAsia="zh-CN"/>
        </w:rPr>
        <w:t>旅</w:t>
      </w:r>
      <w:r>
        <w:rPr>
          <w:rFonts w:hint="default" w:ascii="Times New Roman" w:hAnsi="Times New Roman" w:eastAsia="仿宋_GB2312" w:cs="Times New Roman"/>
          <w:color w:val="auto"/>
          <w:sz w:val="32"/>
          <w:szCs w:val="32"/>
          <w:lang w:val="en-US" w:eastAsia="zh-CN"/>
        </w:rPr>
        <w:t>项目</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组织10个以上单位申报省级及以上休闲农业基地（园区、企业），力争休闲农业综合收入</w:t>
      </w:r>
      <w:r>
        <w:rPr>
          <w:rFonts w:hint="default" w:ascii="Times New Roman" w:hAnsi="Times New Roman" w:eastAsia="仿宋_GB2312" w:cs="Times New Roman"/>
          <w:color w:val="auto"/>
          <w:sz w:val="32"/>
          <w:szCs w:val="32"/>
          <w:lang w:val="en-US" w:eastAsia="zh-CN"/>
        </w:rPr>
        <w:t>突破</w:t>
      </w:r>
      <w:r>
        <w:rPr>
          <w:rFonts w:hint="default" w:ascii="Times New Roman" w:hAnsi="Times New Roman" w:eastAsia="仿宋_GB2312" w:cs="Times New Roman"/>
          <w:color w:val="auto"/>
          <w:sz w:val="32"/>
          <w:szCs w:val="32"/>
        </w:rPr>
        <w:t>10亿元。</w:t>
      </w:r>
    </w:p>
    <w:p w14:paraId="161A0C0C">
      <w:pPr>
        <w:pageBreakBefore w:val="0"/>
        <w:wordWrap/>
        <w:overflowPunct/>
        <w:topLinePunct w:val="0"/>
        <w:bidi w:val="0"/>
        <w:ind w:left="0" w:leftChars="0"/>
        <w:rPr>
          <w:rFonts w:hint="default" w:ascii="Times New Roman" w:hAnsi="Times New Roman" w:eastAsia="楷体_GB2312" w:cs="Times New Roman"/>
          <w:b/>
          <w:bCs/>
          <w:color w:val="auto"/>
          <w:lang w:val="en-US" w:eastAsia="zh-CN"/>
        </w:rPr>
      </w:pPr>
      <w:r>
        <w:rPr>
          <w:rFonts w:hint="default" w:ascii="Times New Roman" w:hAnsi="Times New Roman" w:cs="Times New Roman"/>
          <w:b/>
          <w:bCs/>
          <w:color w:val="auto"/>
        </w:rPr>
        <w:t>强化乡村运营能力。</w:t>
      </w:r>
      <w:r>
        <w:rPr>
          <w:rFonts w:hint="default" w:ascii="Times New Roman" w:hAnsi="Times New Roman" w:cs="Times New Roman"/>
          <w:color w:val="auto"/>
        </w:rPr>
        <w:t>立足地域特色，建设精品农</w:t>
      </w:r>
      <w:r>
        <w:rPr>
          <w:rFonts w:hint="default" w:ascii="Times New Roman" w:hAnsi="Times New Roman" w:cs="Times New Roman"/>
          <w:color w:val="auto"/>
          <w:lang w:val="en-US" w:eastAsia="zh-CN"/>
        </w:rPr>
        <w:t>文</w:t>
      </w:r>
      <w:r>
        <w:rPr>
          <w:rFonts w:hint="default" w:ascii="Times New Roman" w:hAnsi="Times New Roman" w:cs="Times New Roman"/>
          <w:color w:val="auto"/>
        </w:rPr>
        <w:t>旅项目，</w:t>
      </w:r>
      <w:r>
        <w:rPr>
          <w:rFonts w:hint="default" w:ascii="Times New Roman" w:hAnsi="Times New Roman" w:cs="Times New Roman"/>
          <w:color w:val="auto"/>
          <w:lang w:val="en-US" w:eastAsia="zh-CN"/>
        </w:rPr>
        <w:t>建立</w:t>
      </w:r>
      <w:r>
        <w:rPr>
          <w:rFonts w:hint="default" w:ascii="Times New Roman" w:hAnsi="Times New Roman" w:cs="Times New Roman"/>
          <w:color w:val="auto"/>
        </w:rPr>
        <w:t>“颜值</w:t>
      </w:r>
      <w:r>
        <w:rPr>
          <w:rFonts w:hint="default" w:ascii="Times New Roman" w:hAnsi="Times New Roman" w:cs="Times New Roman"/>
          <w:color w:val="auto"/>
          <w:lang w:val="en-US" w:eastAsia="zh-CN"/>
        </w:rPr>
        <w:t>×</w:t>
      </w:r>
      <w:r>
        <w:rPr>
          <w:rFonts w:hint="default" w:ascii="Times New Roman" w:hAnsi="Times New Roman" w:cs="Times New Roman"/>
          <w:color w:val="auto"/>
        </w:rPr>
        <w:t>运营=价值”</w:t>
      </w:r>
      <w:r>
        <w:rPr>
          <w:rFonts w:hint="default" w:ascii="Times New Roman" w:hAnsi="Times New Roman" w:cs="Times New Roman"/>
          <w:color w:val="auto"/>
          <w:lang w:val="en-US" w:eastAsia="zh-CN"/>
        </w:rPr>
        <w:t>理念</w:t>
      </w:r>
      <w:r>
        <w:rPr>
          <w:rFonts w:hint="default" w:ascii="Times New Roman" w:hAnsi="Times New Roman" w:cs="Times New Roman"/>
          <w:color w:val="auto"/>
        </w:rPr>
        <w:t>，加强运营，发现价值</w:t>
      </w:r>
      <w:r>
        <w:rPr>
          <w:rFonts w:hint="default" w:ascii="Times New Roman" w:hAnsi="Times New Roman" w:cs="Times New Roman"/>
          <w:color w:val="auto"/>
          <w:lang w:eastAsia="zh-CN"/>
        </w:rPr>
        <w:t>。</w:t>
      </w:r>
      <w:r>
        <w:rPr>
          <w:rFonts w:hint="default" w:ascii="Times New Roman" w:hAnsi="Times New Roman" w:cs="Times New Roman"/>
          <w:color w:val="auto"/>
        </w:rPr>
        <w:t>整合休闲农业与乡村旅游资源，探索一体化管理、无障碍合作的新体制、新机制。</w:t>
      </w:r>
      <w:r>
        <w:rPr>
          <w:rFonts w:hint="default" w:ascii="Times New Roman" w:hAnsi="Times New Roman" w:cs="Times New Roman"/>
          <w:color w:val="auto"/>
          <w:lang w:val="en-US" w:eastAsia="zh-CN"/>
        </w:rPr>
        <w:t>鼓励</w:t>
      </w:r>
      <w:r>
        <w:rPr>
          <w:rFonts w:hint="default" w:ascii="Times New Roman" w:hAnsi="Times New Roman" w:cs="Times New Roman"/>
          <w:color w:val="auto"/>
        </w:rPr>
        <w:t>引入</w:t>
      </w:r>
      <w:r>
        <w:rPr>
          <w:rFonts w:hint="default" w:ascii="Times New Roman" w:hAnsi="Times New Roman" w:cs="Times New Roman"/>
          <w:color w:val="auto"/>
          <w:lang w:val="en-US" w:eastAsia="zh-CN"/>
        </w:rPr>
        <w:t>乡村CEO以及</w:t>
      </w:r>
      <w:r>
        <w:rPr>
          <w:rFonts w:hint="default" w:ascii="Times New Roman" w:hAnsi="Times New Roman" w:cs="Times New Roman"/>
          <w:color w:val="auto"/>
        </w:rPr>
        <w:t>专业运营团队，找寻适合海门当地农业与旅游</w:t>
      </w:r>
      <w:r>
        <w:rPr>
          <w:rFonts w:hint="default" w:ascii="Times New Roman" w:hAnsi="Times New Roman" w:cs="Times New Roman"/>
          <w:color w:val="auto"/>
          <w:lang w:val="en-US" w:eastAsia="zh-CN"/>
        </w:rPr>
        <w:t>发展</w:t>
      </w:r>
      <w:r>
        <w:rPr>
          <w:rFonts w:hint="default" w:ascii="Times New Roman" w:hAnsi="Times New Roman" w:cs="Times New Roman"/>
          <w:color w:val="auto"/>
          <w:lang w:eastAsia="zh-CN"/>
        </w:rPr>
        <w:t>的契合</w:t>
      </w:r>
      <w:r>
        <w:rPr>
          <w:rFonts w:hint="default" w:ascii="Times New Roman" w:hAnsi="Times New Roman" w:cs="Times New Roman"/>
          <w:color w:val="auto"/>
        </w:rPr>
        <w:t>点。激活</w:t>
      </w:r>
      <w:r>
        <w:rPr>
          <w:rFonts w:hint="eastAsia" w:ascii="Times New Roman" w:hAnsi="Times New Roman" w:cs="Times New Roman"/>
          <w:color w:val="auto"/>
          <w:lang w:eastAsia="zh-CN"/>
        </w:rPr>
        <w:t>市场</w:t>
      </w:r>
      <w:r>
        <w:rPr>
          <w:rFonts w:hint="default" w:ascii="Times New Roman" w:hAnsi="Times New Roman" w:cs="Times New Roman"/>
          <w:color w:val="auto"/>
        </w:rPr>
        <w:t>主体，进行有效运营，构建新型商业模式，提升运营质效。依托网络平台，线上和线下多元推介海门</w:t>
      </w:r>
      <w:r>
        <w:rPr>
          <w:rFonts w:hint="default" w:ascii="Times New Roman" w:hAnsi="Times New Roman" w:cs="Times New Roman"/>
          <w:color w:val="auto"/>
          <w:lang w:eastAsia="zh-CN"/>
        </w:rPr>
        <w:t>农文旅</w:t>
      </w:r>
      <w:r>
        <w:rPr>
          <w:rFonts w:hint="default" w:ascii="Times New Roman" w:hAnsi="Times New Roman" w:cs="Times New Roman"/>
          <w:color w:val="auto"/>
        </w:rPr>
        <w:t>。创新应用数字科技营销模式，展现有颜值、有内涵、有品位的“全景海门”</w:t>
      </w:r>
      <w:r>
        <w:rPr>
          <w:rFonts w:hint="default" w:ascii="Times New Roman" w:hAnsi="Times New Roman" w:cs="Times New Roman"/>
          <w:color w:val="auto"/>
          <w:lang w:eastAsia="zh-CN"/>
        </w:rPr>
        <w:t>农文旅</w:t>
      </w:r>
      <w:r>
        <w:rPr>
          <w:rFonts w:hint="default" w:ascii="Times New Roman" w:hAnsi="Times New Roman" w:cs="Times New Roman"/>
          <w:color w:val="auto"/>
        </w:rPr>
        <w:t>整体形象和</w:t>
      </w:r>
      <w:r>
        <w:rPr>
          <w:rFonts w:hint="default" w:ascii="Times New Roman" w:hAnsi="Times New Roman" w:cs="Times New Roman"/>
          <w:color w:val="auto"/>
          <w:lang w:eastAsia="zh-CN"/>
        </w:rPr>
        <w:t>农文旅</w:t>
      </w:r>
      <w:r>
        <w:rPr>
          <w:rFonts w:hint="default" w:ascii="Times New Roman" w:hAnsi="Times New Roman" w:cs="Times New Roman"/>
          <w:color w:val="auto"/>
        </w:rPr>
        <w:t>线路景点；通信运营商广泛推送海门</w:t>
      </w:r>
      <w:r>
        <w:rPr>
          <w:rFonts w:hint="default" w:ascii="Times New Roman" w:hAnsi="Times New Roman" w:cs="Times New Roman"/>
          <w:color w:val="auto"/>
          <w:lang w:eastAsia="zh-CN"/>
        </w:rPr>
        <w:t>农文旅</w:t>
      </w:r>
      <w:r>
        <w:rPr>
          <w:rFonts w:hint="default" w:ascii="Times New Roman" w:hAnsi="Times New Roman" w:cs="Times New Roman"/>
          <w:color w:val="auto"/>
        </w:rPr>
        <w:t>欢迎名片，在上海、南通、苏州等重点城市的高铁、地铁、核心街区及海门交通枢纽布局“张謇故里·诗画海门”场景营销；多部门联动，通过举办海门</w:t>
      </w:r>
      <w:r>
        <w:rPr>
          <w:rFonts w:hint="default" w:ascii="Times New Roman" w:hAnsi="Times New Roman" w:cs="Times New Roman"/>
          <w:color w:val="auto"/>
          <w:lang w:val="en-US" w:eastAsia="zh-CN"/>
        </w:rPr>
        <w:t>赛事</w:t>
      </w:r>
      <w:r>
        <w:rPr>
          <w:rFonts w:hint="default" w:ascii="Times New Roman" w:hAnsi="Times New Roman" w:cs="Times New Roman"/>
          <w:color w:val="auto"/>
        </w:rPr>
        <w:t>活动，展开营销，扩大省内外的营销覆盖面，提升</w:t>
      </w:r>
      <w:r>
        <w:rPr>
          <w:rFonts w:hint="default" w:ascii="Times New Roman" w:hAnsi="Times New Roman" w:cs="Times New Roman"/>
          <w:color w:val="auto"/>
          <w:lang w:eastAsia="zh-CN"/>
        </w:rPr>
        <w:t>农文旅</w:t>
      </w:r>
      <w:r>
        <w:rPr>
          <w:rFonts w:hint="default" w:ascii="Times New Roman" w:hAnsi="Times New Roman" w:cs="Times New Roman"/>
          <w:color w:val="auto"/>
        </w:rPr>
        <w:t>的声誉和市场影响力。准确定位市场和目标群体</w:t>
      </w:r>
      <w:r>
        <w:rPr>
          <w:rFonts w:hint="default" w:ascii="Times New Roman" w:hAnsi="Times New Roman" w:cs="Times New Roman"/>
          <w:color w:val="auto"/>
          <w:lang w:eastAsia="zh-CN"/>
        </w:rPr>
        <w:t>，</w:t>
      </w:r>
      <w:r>
        <w:rPr>
          <w:rFonts w:hint="default" w:ascii="Times New Roman" w:hAnsi="Times New Roman" w:cs="Times New Roman"/>
          <w:color w:val="auto"/>
        </w:rPr>
        <w:t>以周末经济为核心，锁定周边300公里市场圈，立足长三角、巩固沪苏通锡常核心市场，开拓宁镇扬泰、杭嘉湖等潜力市场，重点深耕南通、上海和苏州客源地；锚定年轻人及银发族为目标群体，打响“海门礼物”特色旅游商品品牌。</w:t>
      </w:r>
      <w:bookmarkStart w:id="86" w:name="_Toc2079879086"/>
    </w:p>
    <w:p w14:paraId="13968DF8">
      <w:pPr>
        <w:keepNext w:val="0"/>
        <w:keepLines w:val="0"/>
        <w:pageBreakBefore w:val="0"/>
        <w:kinsoku/>
        <w:wordWrap/>
        <w:overflowPunct/>
        <w:topLinePunct w:val="0"/>
        <w:autoSpaceDE/>
        <w:autoSpaceDN/>
        <w:bidi w:val="0"/>
        <w:adjustRightInd/>
        <w:snapToGrid/>
        <w:spacing w:line="520" w:lineRule="exact"/>
        <w:ind w:left="0" w:leftChars="0"/>
        <w:textAlignment w:val="auto"/>
        <w:rPr>
          <w:rFonts w:hint="default" w:ascii="Times New Roman" w:hAnsi="Times New Roman" w:cs="Times New Roman"/>
          <w:color w:val="auto"/>
        </w:rPr>
      </w:pPr>
      <w:r>
        <w:rPr>
          <w:rFonts w:hint="default" w:ascii="Times New Roman" w:hAnsi="Times New Roman" w:eastAsia="楷体_GB2312" w:cs="Times New Roman"/>
          <w:b/>
          <w:bCs/>
          <w:color w:val="auto"/>
          <w:lang w:val="en-US" w:eastAsia="zh-CN"/>
        </w:rPr>
        <w:t>专</w:t>
      </w:r>
      <w:r>
        <w:rPr>
          <w:rFonts w:hint="default" w:ascii="Times New Roman" w:hAnsi="Times New Roman" w:eastAsia="楷体_GB2312" w:cs="Times New Roman"/>
          <w:b/>
          <w:bCs/>
          <w:color w:val="auto"/>
        </w:rPr>
        <w:t>栏</w:t>
      </w:r>
      <w:r>
        <w:rPr>
          <w:rFonts w:hint="default" w:ascii="Times New Roman" w:hAnsi="Times New Roman" w:eastAsia="楷体_GB2312" w:cs="Times New Roman"/>
          <w:b/>
          <w:bCs/>
          <w:color w:val="auto"/>
          <w:lang w:val="en-US" w:eastAsia="zh-CN"/>
        </w:rPr>
        <w:t>3</w:t>
      </w:r>
      <w:r>
        <w:rPr>
          <w:rFonts w:hint="default" w:ascii="Times New Roman" w:hAnsi="Times New Roman" w:eastAsia="楷体_GB2312" w:cs="Times New Roman"/>
          <w:b/>
          <w:bCs/>
          <w:color w:val="auto"/>
        </w:rPr>
        <w:t>：周末</w:t>
      </w:r>
      <w:r>
        <w:rPr>
          <w:rFonts w:hint="default" w:ascii="Times New Roman" w:hAnsi="Times New Roman" w:eastAsia="楷体_GB2312" w:cs="Times New Roman"/>
          <w:b/>
          <w:bCs/>
          <w:color w:val="auto"/>
          <w:lang w:eastAsia="zh-CN"/>
        </w:rPr>
        <w:t>农文旅</w:t>
      </w:r>
      <w:r>
        <w:rPr>
          <w:rFonts w:hint="default" w:ascii="Times New Roman" w:hAnsi="Times New Roman" w:eastAsia="楷体_GB2312" w:cs="Times New Roman"/>
          <w:b/>
          <w:bCs/>
          <w:color w:val="auto"/>
        </w:rPr>
        <w:t>推介线路</w:t>
      </w:r>
      <w:bookmarkEnd w:id="86"/>
    </w:p>
    <w:p w14:paraId="5DFBB024">
      <w:pPr>
        <w:keepNext w:val="0"/>
        <w:keepLines w:val="0"/>
        <w:pageBreakBefore w:val="0"/>
        <w:widowControl/>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eastAsia="楷体_GB2312" w:cs="Times New Roman"/>
          <w:color w:val="auto"/>
          <w:sz w:val="30"/>
          <w:szCs w:val="30"/>
        </w:rPr>
      </w:pPr>
      <w:r>
        <w:rPr>
          <w:rFonts w:hint="default" w:ascii="Times New Roman" w:hAnsi="Times New Roman" w:eastAsia="楷体_GB2312" w:cs="Times New Roman"/>
          <w:color w:val="auto"/>
          <w:sz w:val="30"/>
          <w:szCs w:val="30"/>
        </w:rPr>
        <w:t>“乡村田园”生态游：天籁村枇杷园、常乐A</w:t>
      </w:r>
      <w:r>
        <w:rPr>
          <w:rFonts w:hint="default" w:ascii="Times New Roman" w:hAnsi="Times New Roman" w:eastAsia="楷体_GB2312" w:cs="Times New Roman"/>
          <w:color w:val="auto"/>
          <w:sz w:val="30"/>
          <w:szCs w:val="30"/>
          <w:vertAlign w:val="superscript"/>
        </w:rPr>
        <w:t>+</w:t>
      </w:r>
      <w:r>
        <w:rPr>
          <w:rFonts w:hint="default" w:ascii="Times New Roman" w:hAnsi="Times New Roman" w:eastAsia="楷体_GB2312" w:cs="Times New Roman"/>
          <w:color w:val="auto"/>
          <w:sz w:val="30"/>
          <w:szCs w:val="30"/>
        </w:rPr>
        <w:t>智能温室、乐番天农庄、金盛羊庄、余东富民</w:t>
      </w:r>
      <w:r>
        <w:rPr>
          <w:rFonts w:hint="default" w:ascii="Times New Roman" w:hAnsi="Times New Roman" w:eastAsia="楷体_GB2312" w:cs="Times New Roman"/>
          <w:color w:val="auto"/>
          <w:sz w:val="30"/>
          <w:szCs w:val="30"/>
          <w:lang w:eastAsia="zh-CN"/>
        </w:rPr>
        <w:t>少数民族</w:t>
      </w:r>
      <w:r>
        <w:rPr>
          <w:rFonts w:hint="default" w:ascii="Times New Roman" w:hAnsi="Times New Roman" w:eastAsia="楷体_GB2312" w:cs="Times New Roman"/>
          <w:color w:val="auto"/>
          <w:sz w:val="30"/>
          <w:szCs w:val="30"/>
        </w:rPr>
        <w:t>村、海永旅游度假区萱草园</w:t>
      </w:r>
      <w:r>
        <w:rPr>
          <w:rFonts w:hint="default" w:ascii="Times New Roman" w:hAnsi="Times New Roman" w:eastAsia="楷体_GB2312" w:cs="Times New Roman"/>
          <w:color w:val="auto"/>
          <w:sz w:val="30"/>
          <w:szCs w:val="30"/>
          <w:lang w:eastAsia="zh-CN"/>
        </w:rPr>
        <w:t>、</w:t>
      </w:r>
      <w:r>
        <w:rPr>
          <w:rFonts w:hint="default" w:ascii="Times New Roman" w:hAnsi="Times New Roman" w:eastAsia="楷体_GB2312" w:cs="Times New Roman"/>
          <w:color w:val="auto"/>
          <w:sz w:val="30"/>
          <w:szCs w:val="30"/>
          <w:lang w:val="en-US" w:eastAsia="zh-CN"/>
        </w:rPr>
        <w:t>甜也计划</w:t>
      </w:r>
      <w:r>
        <w:rPr>
          <w:rFonts w:hint="default" w:ascii="Times New Roman" w:hAnsi="Times New Roman" w:eastAsia="楷体_GB2312" w:cs="Times New Roman"/>
          <w:color w:val="auto"/>
          <w:sz w:val="30"/>
          <w:szCs w:val="30"/>
        </w:rPr>
        <w:t>；</w:t>
      </w:r>
    </w:p>
    <w:p w14:paraId="1AC7DE02">
      <w:pPr>
        <w:keepNext w:val="0"/>
        <w:keepLines w:val="0"/>
        <w:pageBreakBefore w:val="0"/>
        <w:widowControl/>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eastAsia="楷体_GB2312" w:cs="Times New Roman"/>
          <w:color w:val="auto"/>
          <w:sz w:val="30"/>
          <w:szCs w:val="30"/>
        </w:rPr>
      </w:pPr>
      <w:r>
        <w:rPr>
          <w:rFonts w:hint="default" w:ascii="Times New Roman" w:hAnsi="Times New Roman" w:eastAsia="楷体_GB2312" w:cs="Times New Roman"/>
          <w:color w:val="auto"/>
          <w:sz w:val="30"/>
          <w:szCs w:val="30"/>
        </w:rPr>
        <w:t>“江海风韵”漫慢游：东布洲长滩公园、青龙港1806景区、江湾渔歌、謇公湖</w:t>
      </w:r>
      <w:r>
        <w:rPr>
          <w:rFonts w:hint="default" w:ascii="Times New Roman" w:hAnsi="Times New Roman" w:eastAsia="楷体_GB2312" w:cs="Times New Roman"/>
          <w:color w:val="auto"/>
          <w:sz w:val="30"/>
          <w:szCs w:val="30"/>
          <w:lang w:val="en-US" w:eastAsia="zh-CN"/>
        </w:rPr>
        <w:t>露营基地</w:t>
      </w:r>
      <w:r>
        <w:rPr>
          <w:rFonts w:hint="default" w:ascii="Times New Roman" w:hAnsi="Times New Roman" w:eastAsia="楷体_GB2312" w:cs="Times New Roman"/>
          <w:color w:val="auto"/>
          <w:sz w:val="30"/>
          <w:szCs w:val="30"/>
        </w:rPr>
        <w:t>、花漾谷、洲际花博园、大东博士园、蛎岈山海洋公园、金伍叶</w:t>
      </w:r>
      <w:r>
        <w:rPr>
          <w:rFonts w:hint="default" w:ascii="Times New Roman" w:hAnsi="Times New Roman" w:eastAsia="楷体_GB2312" w:cs="Times New Roman"/>
          <w:color w:val="auto"/>
          <w:sz w:val="30"/>
          <w:szCs w:val="30"/>
          <w:lang w:val="en-US" w:eastAsia="zh-CN"/>
        </w:rPr>
        <w:t>休闲农庄</w:t>
      </w:r>
      <w:r>
        <w:rPr>
          <w:rFonts w:hint="default" w:ascii="Times New Roman" w:hAnsi="Times New Roman" w:eastAsia="楷体_GB2312" w:cs="Times New Roman"/>
          <w:color w:val="auto"/>
          <w:sz w:val="30"/>
          <w:szCs w:val="30"/>
        </w:rPr>
        <w:t>、</w:t>
      </w:r>
      <w:r>
        <w:rPr>
          <w:rFonts w:hint="default" w:ascii="Times New Roman" w:hAnsi="Times New Roman" w:eastAsia="楷体_GB2312" w:cs="Times New Roman"/>
          <w:color w:val="auto"/>
          <w:sz w:val="30"/>
          <w:szCs w:val="30"/>
          <w:lang w:val="en-US" w:eastAsia="zh-CN"/>
        </w:rPr>
        <w:t>海港生态旅游景区</w:t>
      </w:r>
      <w:r>
        <w:rPr>
          <w:rFonts w:hint="default" w:ascii="Times New Roman" w:hAnsi="Times New Roman" w:eastAsia="楷体_GB2312" w:cs="Times New Roman"/>
          <w:color w:val="auto"/>
          <w:sz w:val="30"/>
          <w:szCs w:val="30"/>
        </w:rPr>
        <w:t>；</w:t>
      </w:r>
    </w:p>
    <w:p w14:paraId="435DE330">
      <w:pPr>
        <w:keepNext w:val="0"/>
        <w:keepLines w:val="0"/>
        <w:pageBreakBefore w:val="0"/>
        <w:widowControl/>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eastAsia="楷体_GB2312" w:cs="Times New Roman"/>
          <w:color w:val="auto"/>
          <w:sz w:val="30"/>
          <w:szCs w:val="30"/>
        </w:rPr>
      </w:pPr>
      <w:r>
        <w:rPr>
          <w:rFonts w:hint="default" w:ascii="Times New Roman" w:hAnsi="Times New Roman" w:eastAsia="楷体_GB2312" w:cs="Times New Roman"/>
          <w:color w:val="auto"/>
          <w:sz w:val="30"/>
          <w:szCs w:val="30"/>
        </w:rPr>
        <w:t>“张謇故里”深度游：江海博物馆、青龙港1806景区、张謇纪念馆、张謇故居、颐生文博园、颐生酒文化科研交流中心、九龙岛文化湿地、常乐湾；</w:t>
      </w:r>
    </w:p>
    <w:p w14:paraId="61E3866A">
      <w:pPr>
        <w:keepNext w:val="0"/>
        <w:keepLines w:val="0"/>
        <w:pageBreakBefore w:val="0"/>
        <w:widowControl/>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eastAsia="楷体_GB2312" w:cs="Times New Roman"/>
          <w:color w:val="auto"/>
          <w:sz w:val="28"/>
          <w:szCs w:val="28"/>
        </w:rPr>
      </w:pPr>
      <w:r>
        <w:rPr>
          <w:rFonts w:hint="default" w:ascii="Times New Roman" w:hAnsi="Times New Roman" w:eastAsia="楷体_GB2312" w:cs="Times New Roman"/>
          <w:color w:val="auto"/>
          <w:sz w:val="30"/>
          <w:szCs w:val="30"/>
        </w:rPr>
        <w:t>“海门礼物”购物游：叠石桥国际家纺城、春之道农文旅、麒麟红木城、常乐漫心谷民宿、余东古镇、正余通东革命老区红色记忆馆、王灶河</w:t>
      </w:r>
      <w:r>
        <w:rPr>
          <w:rFonts w:hint="default" w:ascii="Times New Roman" w:hAnsi="Times New Roman" w:eastAsia="楷体_GB2312" w:cs="Times New Roman"/>
          <w:color w:val="auto"/>
          <w:sz w:val="30"/>
          <w:szCs w:val="30"/>
          <w:lang w:val="en-US" w:eastAsia="zh-CN"/>
        </w:rPr>
        <w:t>老街</w:t>
      </w:r>
      <w:r>
        <w:rPr>
          <w:rFonts w:hint="default" w:ascii="Times New Roman" w:hAnsi="Times New Roman" w:eastAsia="楷体_GB2312" w:cs="Times New Roman"/>
          <w:color w:val="auto"/>
          <w:sz w:val="30"/>
          <w:szCs w:val="30"/>
        </w:rPr>
        <w:t>。</w:t>
      </w:r>
    </w:p>
    <w:p w14:paraId="07F7C9E4">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lang w:eastAsia="zh-CN"/>
        </w:rPr>
        <w:t>驱动乡村</w:t>
      </w:r>
      <w:r>
        <w:rPr>
          <w:rFonts w:hint="default" w:ascii="Times New Roman" w:hAnsi="Times New Roman" w:cs="Times New Roman"/>
          <w:b/>
          <w:bCs/>
          <w:color w:val="auto"/>
        </w:rPr>
        <w:t>旅游</w:t>
      </w:r>
      <w:r>
        <w:rPr>
          <w:rFonts w:hint="default" w:ascii="Times New Roman" w:hAnsi="Times New Roman" w:cs="Times New Roman"/>
          <w:b/>
          <w:bCs/>
          <w:color w:val="auto"/>
          <w:lang w:eastAsia="zh-CN"/>
        </w:rPr>
        <w:t>提质</w:t>
      </w:r>
      <w:r>
        <w:rPr>
          <w:rFonts w:hint="default" w:ascii="Times New Roman" w:hAnsi="Times New Roman" w:cs="Times New Roman"/>
          <w:b/>
          <w:bCs/>
          <w:color w:val="auto"/>
        </w:rPr>
        <w:t>升级</w:t>
      </w:r>
      <w:r>
        <w:rPr>
          <w:rFonts w:hint="default" w:ascii="Times New Roman" w:hAnsi="Times New Roman" w:cs="Times New Roman"/>
          <w:b/>
          <w:bCs/>
          <w:color w:val="auto"/>
          <w:lang w:eastAsia="zh-CN"/>
        </w:rPr>
        <w:t>。</w:t>
      </w:r>
      <w:r>
        <w:rPr>
          <w:rFonts w:hint="default" w:ascii="Times New Roman" w:hAnsi="Times New Roman" w:cs="Times New Roman"/>
          <w:color w:val="auto"/>
        </w:rPr>
        <w:t>打造精品旅游片</w:t>
      </w:r>
      <w:r>
        <w:rPr>
          <w:rFonts w:hint="default" w:ascii="Times New Roman" w:hAnsi="Times New Roman" w:cs="Times New Roman"/>
          <w:color w:val="auto"/>
          <w:lang w:eastAsia="zh-CN"/>
        </w:rPr>
        <w:t>，</w:t>
      </w:r>
      <w:r>
        <w:rPr>
          <w:rFonts w:hint="default" w:ascii="Times New Roman" w:hAnsi="Times New Roman" w:cs="Times New Roman"/>
          <w:color w:val="auto"/>
        </w:rPr>
        <w:t>聚焦</w:t>
      </w:r>
      <w:r>
        <w:rPr>
          <w:rFonts w:hint="default" w:ascii="Times New Roman" w:hAnsi="Times New Roman" w:cs="Times New Roman"/>
          <w:color w:val="auto"/>
          <w:lang w:eastAsia="zh-CN"/>
        </w:rPr>
        <w:t>“</w:t>
      </w:r>
      <w:r>
        <w:rPr>
          <w:rFonts w:hint="default" w:ascii="Times New Roman" w:hAnsi="Times New Roman" w:cs="Times New Roman"/>
          <w:color w:val="auto"/>
        </w:rPr>
        <w:t>休闲度假、文化体验、特色康养、研学教育、精致农业</w:t>
      </w:r>
      <w:r>
        <w:rPr>
          <w:rFonts w:hint="default" w:ascii="Times New Roman" w:hAnsi="Times New Roman" w:cs="Times New Roman"/>
          <w:color w:val="auto"/>
          <w:lang w:eastAsia="zh-CN"/>
        </w:rPr>
        <w:t>”</w:t>
      </w:r>
      <w:r>
        <w:rPr>
          <w:rFonts w:hint="default" w:ascii="Times New Roman" w:hAnsi="Times New Roman" w:cs="Times New Roman"/>
          <w:color w:val="auto"/>
        </w:rPr>
        <w:t>五大方向，策划落地一批能引爆市场的“拳头产品”，将优质资源集中投向最具潜力、基础最优的农</w:t>
      </w:r>
      <w:r>
        <w:rPr>
          <w:rFonts w:hint="default" w:ascii="Times New Roman" w:hAnsi="Times New Roman" w:cs="Times New Roman"/>
          <w:color w:val="auto"/>
          <w:lang w:val="en-US" w:eastAsia="zh-CN"/>
        </w:rPr>
        <w:t>文</w:t>
      </w:r>
      <w:r>
        <w:rPr>
          <w:rFonts w:hint="default" w:ascii="Times New Roman" w:hAnsi="Times New Roman" w:cs="Times New Roman"/>
          <w:color w:val="auto"/>
        </w:rPr>
        <w:t>旅融合区域，重点围绕沿江沿海片区、张謇故里片区</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謇公湖片区</w:t>
      </w:r>
      <w:r>
        <w:rPr>
          <w:rFonts w:hint="default" w:ascii="Times New Roman" w:hAnsi="Times New Roman" w:cs="Times New Roman"/>
          <w:color w:val="auto"/>
        </w:rPr>
        <w:t>和叠石桥家纺片区</w:t>
      </w:r>
      <w:r>
        <w:rPr>
          <w:rFonts w:hint="default" w:ascii="Times New Roman" w:hAnsi="Times New Roman" w:cs="Times New Roman"/>
          <w:color w:val="auto"/>
          <w:lang w:val="en-US" w:eastAsia="zh-CN"/>
        </w:rPr>
        <w:t>四</w:t>
      </w:r>
      <w:r>
        <w:rPr>
          <w:rFonts w:hint="default" w:ascii="Times New Roman" w:hAnsi="Times New Roman" w:cs="Times New Roman"/>
          <w:color w:val="auto"/>
        </w:rPr>
        <w:t>大片区，精准招引项目、精细谋划建设，打造标杆性精品项目，推动</w:t>
      </w:r>
      <w:r>
        <w:rPr>
          <w:rFonts w:hint="default" w:ascii="Times New Roman" w:hAnsi="Times New Roman" w:cs="Times New Roman"/>
          <w:color w:val="auto"/>
          <w:lang w:eastAsia="zh-CN"/>
        </w:rPr>
        <w:t>农文旅</w:t>
      </w:r>
      <w:r>
        <w:rPr>
          <w:rFonts w:hint="default" w:ascii="Times New Roman" w:hAnsi="Times New Roman" w:cs="Times New Roman"/>
          <w:color w:val="auto"/>
        </w:rPr>
        <w:t>项目从“单点盆景”升级到“全域风景”。健全“吃住行娱购”旅游业态</w:t>
      </w:r>
      <w:r>
        <w:rPr>
          <w:rFonts w:hint="default" w:ascii="Times New Roman" w:hAnsi="Times New Roman" w:cs="Times New Roman"/>
          <w:color w:val="auto"/>
          <w:lang w:eastAsia="zh-CN"/>
        </w:rPr>
        <w:t>，</w:t>
      </w:r>
      <w:r>
        <w:rPr>
          <w:rFonts w:hint="default" w:ascii="Times New Roman" w:hAnsi="Times New Roman" w:cs="Times New Roman"/>
          <w:color w:val="auto"/>
        </w:rPr>
        <w:t>加强乡村特色</w:t>
      </w:r>
      <w:r>
        <w:rPr>
          <w:rFonts w:hint="default" w:ascii="Times New Roman" w:hAnsi="Times New Roman" w:cs="Times New Roman"/>
          <w:color w:val="auto"/>
          <w:lang w:eastAsia="zh-CN"/>
        </w:rPr>
        <w:t>蔬菜和水果</w:t>
      </w:r>
      <w:r>
        <w:rPr>
          <w:rFonts w:hint="default" w:ascii="Times New Roman" w:hAnsi="Times New Roman" w:cs="Times New Roman"/>
          <w:color w:val="auto"/>
        </w:rPr>
        <w:t>、乡村特色美食的旅游化开发，打造创意农产品以及生</w:t>
      </w:r>
      <w:r>
        <w:rPr>
          <w:rFonts w:hint="default" w:ascii="Times New Roman" w:hAnsi="Times New Roman" w:cs="Times New Roman"/>
          <w:color w:val="auto"/>
          <w:lang w:val="en-US" w:eastAsia="zh-CN"/>
        </w:rPr>
        <w:t>态</w:t>
      </w:r>
      <w:r>
        <w:rPr>
          <w:rFonts w:hint="default" w:ascii="Times New Roman" w:hAnsi="Times New Roman" w:cs="Times New Roman"/>
          <w:color w:val="auto"/>
        </w:rPr>
        <w:t>绿色农产品，开发以休闲食品为主的休闲产品。培育江海风、田园风、古建风、现代简约风等多元风格的高品质民宿集群，市场化运作，做大做强民宿旅游市场。加快推进特色民宿建设运营，“十五五”期间力争创建成国家等级民宿。鼓励引导乡村露营地建设，推动营地提档升级，使其成为休闲微度假的理想之地。利用特色农副产品、优质工业产品及地方文化元素，以“品牌化塑核、旅游化赋能、创意化包装”为路径，系统开发并推广“海门特产”与“海门礼物”两大系列，在线上和线下的各种活动中推介两大系列产品，实现“农产变商品、商品变精品”的价值跃升。</w:t>
      </w:r>
    </w:p>
    <w:p w14:paraId="4B548B62">
      <w:pPr>
        <w:pageBreakBefore w:val="0"/>
        <w:wordWrap/>
        <w:overflowPunct/>
        <w:topLinePunct w:val="0"/>
        <w:bidi w:val="0"/>
        <w:ind w:left="0" w:leftChars="0"/>
        <w:rPr>
          <w:rFonts w:hint="default" w:ascii="Times New Roman" w:hAnsi="Times New Roman" w:eastAsia="宋体" w:cs="Times New Roman"/>
          <w:color w:val="auto"/>
          <w:sz w:val="28"/>
          <w:szCs w:val="28"/>
          <w:lang w:val="en-US" w:eastAsia="zh-CN"/>
        </w:rPr>
      </w:pPr>
      <w:r>
        <w:rPr>
          <w:rFonts w:hint="default" w:ascii="Times New Roman" w:hAnsi="Times New Roman" w:cs="Times New Roman"/>
          <w:b/>
          <w:bCs/>
          <w:color w:val="auto"/>
          <w:lang w:val="en-US" w:eastAsia="zh-CN"/>
        </w:rPr>
        <w:t>加强农业文化遗产保护。</w:t>
      </w:r>
      <w:r>
        <w:rPr>
          <w:rFonts w:hint="default" w:ascii="Times New Roman" w:hAnsi="Times New Roman" w:eastAsia="仿宋_GB2312" w:cs="Times New Roman"/>
          <w:color w:val="auto"/>
          <w:sz w:val="32"/>
          <w:szCs w:val="32"/>
          <w:lang w:val="en-US" w:eastAsia="zh-CN"/>
        </w:rPr>
        <w:t>挖掘、保护、传承和活化传统的农产品加工技（工）艺，运用数字化载体共享产品服务，带动遗产地农产品生产、加工、娱乐</w:t>
      </w:r>
      <w:r>
        <w:rPr>
          <w:rFonts w:hint="default" w:ascii="Times New Roman" w:hAnsi="Times New Roman" w:cs="Times New Roman"/>
          <w:color w:val="auto"/>
          <w:sz w:val="32"/>
          <w:szCs w:val="32"/>
          <w:lang w:val="en-US" w:eastAsia="zh-CN"/>
        </w:rPr>
        <w:t>等</w:t>
      </w:r>
      <w:r>
        <w:rPr>
          <w:rFonts w:hint="default" w:ascii="Times New Roman" w:hAnsi="Times New Roman" w:eastAsia="仿宋_GB2312" w:cs="Times New Roman"/>
          <w:color w:val="auto"/>
          <w:sz w:val="32"/>
          <w:szCs w:val="32"/>
          <w:lang w:val="en-US" w:eastAsia="zh-CN"/>
        </w:rPr>
        <w:t>方式延存“活态”，拓宽农民的增收渠道。发展适合遗产地的农</w:t>
      </w:r>
      <w:r>
        <w:rPr>
          <w:rFonts w:hint="default" w:ascii="Times New Roman" w:hAnsi="Times New Roman" w:cs="Times New Roman"/>
          <w:color w:val="auto"/>
          <w:sz w:val="32"/>
          <w:szCs w:val="32"/>
          <w:lang w:val="en-US" w:eastAsia="zh-CN"/>
        </w:rPr>
        <w:t>文</w:t>
      </w:r>
      <w:r>
        <w:rPr>
          <w:rFonts w:hint="default" w:ascii="Times New Roman" w:hAnsi="Times New Roman" w:eastAsia="仿宋_GB2312" w:cs="Times New Roman"/>
          <w:color w:val="auto"/>
          <w:sz w:val="32"/>
          <w:szCs w:val="32"/>
          <w:lang w:val="en-US" w:eastAsia="zh-CN"/>
        </w:rPr>
        <w:t>旅、</w:t>
      </w:r>
      <w:r>
        <w:rPr>
          <w:rFonts w:hint="default" w:ascii="Times New Roman" w:hAnsi="Times New Roman" w:cs="Times New Roman"/>
          <w:color w:val="auto"/>
          <w:sz w:val="32"/>
          <w:szCs w:val="32"/>
          <w:lang w:val="en-US" w:eastAsia="zh-CN"/>
        </w:rPr>
        <w:t>农村一二三产业融合</w:t>
      </w:r>
      <w:r>
        <w:rPr>
          <w:rFonts w:hint="default" w:ascii="Times New Roman" w:hAnsi="Times New Roman" w:eastAsia="仿宋_GB2312" w:cs="Times New Roman"/>
          <w:color w:val="auto"/>
          <w:sz w:val="32"/>
          <w:szCs w:val="32"/>
          <w:lang w:val="en-US" w:eastAsia="zh-CN"/>
        </w:rPr>
        <w:t>项目来活化利用和开发农业文化遗产，形成乡村特色产业或为特色产业提供服务。“十五五”期间保护传承</w:t>
      </w:r>
      <w:r>
        <w:rPr>
          <w:rFonts w:hint="default" w:ascii="Times New Roman" w:hAnsi="Times New Roman" w:cs="Times New Roman"/>
          <w:color w:val="auto"/>
          <w:sz w:val="32"/>
          <w:szCs w:val="32"/>
          <w:lang w:val="en-US" w:eastAsia="zh-CN"/>
        </w:rPr>
        <w:t>海门特色农业</w:t>
      </w:r>
      <w:r>
        <w:rPr>
          <w:rFonts w:hint="default" w:ascii="Times New Roman" w:hAnsi="Times New Roman" w:eastAsia="仿宋_GB2312" w:cs="Times New Roman"/>
          <w:color w:val="auto"/>
          <w:sz w:val="32"/>
          <w:szCs w:val="32"/>
          <w:lang w:val="en-US" w:eastAsia="zh-CN"/>
        </w:rPr>
        <w:t>文化</w:t>
      </w:r>
      <w:r>
        <w:rPr>
          <w:rFonts w:hint="default" w:ascii="Times New Roman" w:hAnsi="Times New Roman" w:cs="Times New Roman"/>
          <w:color w:val="auto"/>
          <w:sz w:val="32"/>
          <w:szCs w:val="32"/>
          <w:lang w:val="en-US" w:eastAsia="zh-CN"/>
        </w:rPr>
        <w:t>遗产</w:t>
      </w:r>
      <w:r>
        <w:rPr>
          <w:rFonts w:hint="default" w:ascii="Times New Roman" w:hAnsi="Times New Roman" w:eastAsia="仿宋_GB2312" w:cs="Times New Roman"/>
          <w:color w:val="auto"/>
          <w:sz w:val="32"/>
          <w:szCs w:val="32"/>
          <w:lang w:val="en-US" w:eastAsia="zh-CN"/>
        </w:rPr>
        <w:t>，赋能乡村产业发展</w:t>
      </w:r>
      <w:r>
        <w:rPr>
          <w:rFonts w:hint="default" w:ascii="Times New Roman" w:hAnsi="Times New Roman"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充分利用农业文化遗产平台，积极申报省级“海门颐生酒传统酿造技（工）艺”等农业文化遗产项目。</w:t>
      </w:r>
    </w:p>
    <w:p w14:paraId="49C470DD">
      <w:pPr>
        <w:pStyle w:val="4"/>
        <w:keepNext w:val="0"/>
        <w:keepLines w:val="0"/>
        <w:pageBreakBefore w:val="0"/>
        <w:widowControl w:val="0"/>
        <w:kinsoku/>
        <w:wordWrap/>
        <w:overflowPunct/>
        <w:topLinePunct w:val="0"/>
        <w:autoSpaceDE/>
        <w:autoSpaceDN/>
        <w:bidi w:val="0"/>
        <w:adjustRightInd/>
        <w:snapToGrid/>
        <w:ind w:left="0" w:leftChars="0"/>
        <w:textAlignment w:val="auto"/>
        <w:rPr>
          <w:rFonts w:hint="default" w:ascii="Times New Roman" w:hAnsi="Times New Roman" w:eastAsia="楷体_GB2312" w:cs="Times New Roman"/>
          <w:color w:val="auto"/>
          <w:lang w:eastAsia="zh-CN"/>
        </w:rPr>
      </w:pPr>
      <w:bookmarkStart w:id="87" w:name="_Toc723016453"/>
      <w:bookmarkStart w:id="88" w:name="_Toc1974"/>
      <w:bookmarkStart w:id="89" w:name="_Toc879610796"/>
      <w:r>
        <w:rPr>
          <w:rFonts w:hint="default" w:ascii="Times New Roman" w:hAnsi="Times New Roman" w:cs="Times New Roman"/>
          <w:color w:val="auto"/>
        </w:rPr>
        <w:t>（</w:t>
      </w:r>
      <w:r>
        <w:rPr>
          <w:rFonts w:hint="default" w:ascii="Times New Roman" w:hAnsi="Times New Roman" w:cs="Times New Roman"/>
          <w:color w:val="auto"/>
          <w:lang w:val="en-US" w:eastAsia="zh-CN"/>
        </w:rPr>
        <w:t>五</w:t>
      </w:r>
      <w:r>
        <w:rPr>
          <w:rFonts w:hint="default" w:ascii="Times New Roman" w:hAnsi="Times New Roman" w:cs="Times New Roman"/>
          <w:color w:val="auto"/>
        </w:rPr>
        <w:t>）</w:t>
      </w:r>
      <w:r>
        <w:rPr>
          <w:rFonts w:hint="default" w:ascii="Times New Roman" w:hAnsi="Times New Roman" w:cs="Times New Roman"/>
          <w:color w:val="auto"/>
          <w:lang w:eastAsia="zh-CN"/>
        </w:rPr>
        <w:t>强化</w:t>
      </w:r>
      <w:r>
        <w:rPr>
          <w:rFonts w:hint="default" w:ascii="Times New Roman" w:hAnsi="Times New Roman" w:cs="Times New Roman"/>
          <w:color w:val="auto"/>
        </w:rPr>
        <w:t>品牌引领和</w:t>
      </w:r>
      <w:bookmarkEnd w:id="87"/>
      <w:r>
        <w:rPr>
          <w:rFonts w:hint="default" w:ascii="Times New Roman" w:hAnsi="Times New Roman" w:cs="Times New Roman"/>
          <w:color w:val="auto"/>
          <w:lang w:eastAsia="zh-CN"/>
        </w:rPr>
        <w:t>建设</w:t>
      </w:r>
      <w:bookmarkEnd w:id="88"/>
      <w:bookmarkEnd w:id="89"/>
    </w:p>
    <w:p w14:paraId="73311147">
      <w:pPr>
        <w:pageBreakBefore w:val="0"/>
        <w:wordWrap/>
        <w:overflowPunct/>
        <w:topLinePunct w:val="0"/>
        <w:bidi w:val="0"/>
        <w:ind w:left="0" w:leftChars="0"/>
        <w:rPr>
          <w:rFonts w:hint="default" w:ascii="Times New Roman" w:hAnsi="Times New Roman" w:cs="Times New Roman"/>
          <w:color w:val="auto"/>
        </w:rPr>
      </w:pPr>
      <w:bookmarkStart w:id="90" w:name="_Toc1940769496"/>
      <w:bookmarkStart w:id="91" w:name="_Toc1868972213"/>
      <w:r>
        <w:rPr>
          <w:rFonts w:hint="default" w:ascii="Times New Roman" w:hAnsi="Times New Roman" w:cs="Times New Roman"/>
          <w:b/>
          <w:bCs/>
          <w:color w:val="auto"/>
        </w:rPr>
        <w:t>构建“1+</w:t>
      </w:r>
      <w:r>
        <w:rPr>
          <w:rFonts w:hint="default" w:ascii="Times New Roman" w:hAnsi="Times New Roman" w:cs="Times New Roman"/>
          <w:b/>
          <w:bCs/>
          <w:color w:val="auto"/>
          <w:lang w:val="en-US" w:eastAsia="zh-CN"/>
        </w:rPr>
        <w:t>1+</w:t>
      </w:r>
      <w:r>
        <w:rPr>
          <w:rFonts w:hint="default" w:ascii="Times New Roman" w:hAnsi="Times New Roman" w:cs="Times New Roman"/>
          <w:b/>
          <w:bCs/>
          <w:color w:val="auto"/>
        </w:rPr>
        <w:t>N”品牌矩阵</w:t>
      </w:r>
      <w:bookmarkEnd w:id="90"/>
      <w:r>
        <w:rPr>
          <w:rFonts w:hint="default" w:ascii="Times New Roman" w:hAnsi="Times New Roman" w:cs="Times New Roman"/>
          <w:b/>
          <w:bCs/>
          <w:color w:val="auto"/>
          <w:lang w:eastAsia="zh-CN"/>
        </w:rPr>
        <w:t>。</w:t>
      </w:r>
      <w:r>
        <w:rPr>
          <w:rFonts w:hint="default" w:ascii="Times New Roman" w:hAnsi="Times New Roman" w:cs="Times New Roman"/>
          <w:color w:val="auto"/>
        </w:rPr>
        <w:t>聚焦品牌整合与管理，构建“1+</w:t>
      </w:r>
      <w:r>
        <w:rPr>
          <w:rFonts w:hint="default" w:ascii="Times New Roman" w:hAnsi="Times New Roman" w:cs="Times New Roman"/>
          <w:color w:val="auto"/>
          <w:lang w:val="en-US" w:eastAsia="zh-CN"/>
        </w:rPr>
        <w:t>1+</w:t>
      </w:r>
      <w:r>
        <w:rPr>
          <w:rFonts w:hint="default" w:ascii="Times New Roman" w:hAnsi="Times New Roman" w:cs="Times New Roman"/>
          <w:color w:val="auto"/>
        </w:rPr>
        <w:t>N”品牌体系，提升农产品市场辨识度与竞争力。打</w:t>
      </w:r>
      <w:r>
        <w:rPr>
          <w:rFonts w:hint="default" w:ascii="Times New Roman" w:hAnsi="Times New Roman" w:cs="Times New Roman"/>
          <w:color w:val="auto"/>
          <w:lang w:eastAsia="zh-CN"/>
        </w:rPr>
        <w:t>造</w:t>
      </w:r>
      <w:r>
        <w:rPr>
          <w:rFonts w:hint="default" w:ascii="Times New Roman" w:hAnsi="Times New Roman" w:cs="Times New Roman"/>
          <w:color w:val="auto"/>
        </w:rPr>
        <w:t>“</w:t>
      </w:r>
      <w:r>
        <w:rPr>
          <w:rFonts w:hint="default" w:ascii="Times New Roman" w:hAnsi="Times New Roman" w:cs="Times New Roman"/>
          <w:color w:val="auto"/>
          <w:lang w:eastAsia="zh-CN"/>
        </w:rPr>
        <w:t>謇韵农香</w:t>
      </w:r>
      <w:r>
        <w:rPr>
          <w:rFonts w:hint="default" w:ascii="Times New Roman" w:hAnsi="Times New Roman" w:cs="Times New Roman"/>
          <w:color w:val="auto"/>
        </w:rPr>
        <w:t>”区域公用品牌，梳理现有品牌、商标，合理运用国家地理标志产品，</w:t>
      </w:r>
      <w:r>
        <w:rPr>
          <w:rFonts w:hint="default" w:ascii="Times New Roman" w:hAnsi="Times New Roman" w:cs="Times New Roman"/>
          <w:color w:val="auto"/>
          <w:lang w:val="en-US" w:eastAsia="zh-CN"/>
        </w:rPr>
        <w:t>建立“謇韵农香”“海门山羊”+肉品、水产品、时蔬、鲜果、大米、特粮特经多个产品、企业品牌（N）的“1+1+N”海门品牌</w:t>
      </w:r>
      <w:r>
        <w:rPr>
          <w:rFonts w:hint="default" w:ascii="Times New Roman" w:hAnsi="Times New Roman" w:cs="Times New Roman"/>
          <w:color w:val="auto"/>
          <w:lang w:eastAsia="zh-CN"/>
        </w:rPr>
        <w:t>特色农</w:t>
      </w:r>
      <w:r>
        <w:rPr>
          <w:rFonts w:hint="default" w:ascii="Times New Roman" w:hAnsi="Times New Roman" w:cs="Times New Roman"/>
          <w:color w:val="auto"/>
        </w:rPr>
        <w:t>产品牌矩阵。分类授权标注国家地理标志产品、省级</w:t>
      </w:r>
      <w:r>
        <w:rPr>
          <w:rFonts w:hint="default" w:ascii="Times New Roman" w:hAnsi="Times New Roman" w:cs="Times New Roman"/>
          <w:color w:val="auto"/>
          <w:lang w:eastAsia="zh-CN"/>
        </w:rPr>
        <w:t>“</w:t>
      </w:r>
      <w:r>
        <w:rPr>
          <w:rFonts w:hint="default" w:ascii="Times New Roman" w:hAnsi="Times New Roman" w:cs="Times New Roman"/>
          <w:color w:val="auto"/>
        </w:rPr>
        <w:t>菜篮子</w:t>
      </w:r>
      <w:r>
        <w:rPr>
          <w:rFonts w:hint="default" w:ascii="Times New Roman" w:hAnsi="Times New Roman" w:cs="Times New Roman"/>
          <w:color w:val="auto"/>
          <w:lang w:eastAsia="zh-CN"/>
        </w:rPr>
        <w:t>”</w:t>
      </w:r>
      <w:r>
        <w:rPr>
          <w:rFonts w:hint="default" w:ascii="Times New Roman" w:hAnsi="Times New Roman" w:cs="Times New Roman"/>
          <w:color w:val="auto"/>
        </w:rPr>
        <w:t>绿色保供基地、省级病虫害绿色防控基地、全国名特优新农产品等官方认证标识。通过“统一标识+分级包装”，通过品牌提升核心产品溢价能力。加强对区域公用品牌的管理</w:t>
      </w:r>
      <w:r>
        <w:rPr>
          <w:rFonts w:hint="default" w:ascii="Times New Roman" w:hAnsi="Times New Roman" w:cs="Times New Roman"/>
          <w:color w:val="auto"/>
          <w:lang w:eastAsia="zh-CN"/>
        </w:rPr>
        <w:t>，</w:t>
      </w:r>
      <w:r>
        <w:rPr>
          <w:rFonts w:hint="default" w:ascii="Times New Roman" w:hAnsi="Times New Roman" w:cs="Times New Roman"/>
          <w:color w:val="auto"/>
        </w:rPr>
        <w:t>建立“统一品牌认证、统一检测服务、统一授信（授权）使用”机制，分类制定种养基地、入选产品准入标准，对授权产品、授信主体实行动态管理，定期提供检测服务，取消不合格者的授信授权资格；并授权国企集中管理区域公用农产品。</w:t>
      </w:r>
    </w:p>
    <w:p w14:paraId="206F6516">
      <w:pPr>
        <w:pageBreakBefore w:val="0"/>
        <w:wordWrap/>
        <w:overflowPunct/>
        <w:topLinePunct w:val="0"/>
        <w:bidi w:val="0"/>
        <w:ind w:left="0" w:leftChars="0"/>
        <w:rPr>
          <w:rFonts w:hint="default" w:ascii="Times New Roman" w:hAnsi="Times New Roman" w:cs="Times New Roman"/>
          <w:color w:val="auto"/>
        </w:rPr>
      </w:pPr>
      <w:bookmarkStart w:id="92" w:name="_Toc383804989"/>
      <w:r>
        <w:rPr>
          <w:rFonts w:hint="default" w:ascii="Times New Roman" w:hAnsi="Times New Roman" w:cs="Times New Roman"/>
          <w:b/>
          <w:bCs/>
          <w:color w:val="auto"/>
        </w:rPr>
        <w:t>展示展销宣传</w:t>
      </w:r>
      <w:bookmarkEnd w:id="92"/>
      <w:r>
        <w:rPr>
          <w:rFonts w:hint="default" w:ascii="Times New Roman" w:hAnsi="Times New Roman" w:cs="Times New Roman"/>
          <w:b/>
          <w:bCs/>
          <w:color w:val="auto"/>
        </w:rPr>
        <w:t>品牌</w:t>
      </w:r>
      <w:r>
        <w:rPr>
          <w:rFonts w:hint="default" w:ascii="Times New Roman" w:hAnsi="Times New Roman" w:cs="Times New Roman"/>
          <w:b/>
          <w:bCs/>
          <w:color w:val="auto"/>
          <w:lang w:eastAsia="zh-CN"/>
        </w:rPr>
        <w:t>。</w:t>
      </w:r>
      <w:r>
        <w:rPr>
          <w:rFonts w:hint="default" w:ascii="Times New Roman" w:hAnsi="Times New Roman" w:cs="Times New Roman"/>
          <w:color w:val="auto"/>
        </w:rPr>
        <w:t>开展故事征集传播活动、搭建品牌展示新渠道、拓展企地合作等市场化运营新模式，多渠道宣传、展销活动与营销渠道融合，</w:t>
      </w:r>
      <w:bookmarkEnd w:id="91"/>
      <w:r>
        <w:rPr>
          <w:rFonts w:hint="default" w:ascii="Times New Roman" w:hAnsi="Times New Roman" w:cs="Times New Roman"/>
          <w:color w:val="auto"/>
        </w:rPr>
        <w:t>引导企业将绿色生态作为农业全产业链发展的重点，推行绿色生产方式，推动“海门产品”向“海门品牌”转变。区域公用</w:t>
      </w:r>
      <w:r>
        <w:rPr>
          <w:rFonts w:hint="default" w:ascii="Times New Roman" w:hAnsi="Times New Roman" w:cs="Times New Roman"/>
          <w:color w:val="auto"/>
          <w:lang w:eastAsia="zh-CN"/>
        </w:rPr>
        <w:t>品牌</w:t>
      </w:r>
      <w:r>
        <w:rPr>
          <w:rFonts w:hint="default" w:ascii="Times New Roman" w:hAnsi="Times New Roman" w:cs="Times New Roman"/>
          <w:color w:val="auto"/>
        </w:rPr>
        <w:t>管理部门制定农产品质量安全标准，严格准入，强化全流程质量监管，保障“海门山羊”“海门黄鸡”区域公用品牌信誉；企业提升品牌保护意识，维护品牌形象，有效提升品牌保护效能，降低品牌侵权风险；制定品牌保护制度，加强对农业品牌的市场监督，打击各种形式的侵权行为。</w:t>
      </w:r>
    </w:p>
    <w:p w14:paraId="79ECD23F">
      <w:pPr>
        <w:pStyle w:val="4"/>
        <w:pageBreakBefore w:val="0"/>
        <w:wordWrap/>
        <w:overflowPunct/>
        <w:topLinePunct w:val="0"/>
        <w:bidi w:val="0"/>
        <w:ind w:left="0" w:leftChars="0"/>
        <w:rPr>
          <w:rFonts w:hint="default" w:ascii="Times New Roman" w:hAnsi="Times New Roman" w:cs="Times New Roman"/>
          <w:color w:val="auto"/>
        </w:rPr>
      </w:pPr>
      <w:bookmarkStart w:id="93" w:name="_Toc1275050845"/>
      <w:bookmarkStart w:id="94" w:name="_Toc1970"/>
      <w:bookmarkStart w:id="95" w:name="_Toc341222424"/>
      <w:r>
        <w:rPr>
          <w:rFonts w:hint="default" w:ascii="Times New Roman" w:hAnsi="Times New Roman" w:cs="Times New Roman"/>
          <w:color w:val="auto"/>
        </w:rPr>
        <w:t>（</w:t>
      </w:r>
      <w:r>
        <w:rPr>
          <w:rFonts w:hint="default" w:ascii="Times New Roman" w:hAnsi="Times New Roman" w:cs="Times New Roman"/>
          <w:color w:val="auto"/>
          <w:lang w:val="en-US" w:eastAsia="zh-CN"/>
        </w:rPr>
        <w:t>六</w:t>
      </w:r>
      <w:r>
        <w:rPr>
          <w:rFonts w:hint="default" w:ascii="Times New Roman" w:hAnsi="Times New Roman" w:cs="Times New Roman"/>
          <w:color w:val="auto"/>
        </w:rPr>
        <w:t>）</w:t>
      </w:r>
      <w:bookmarkEnd w:id="93"/>
      <w:r>
        <w:rPr>
          <w:rFonts w:hint="default" w:ascii="Times New Roman" w:hAnsi="Times New Roman" w:cs="Times New Roman"/>
          <w:color w:val="auto"/>
        </w:rPr>
        <w:t>构建农业开放新格局</w:t>
      </w:r>
      <w:bookmarkEnd w:id="94"/>
      <w:bookmarkEnd w:id="95"/>
    </w:p>
    <w:p w14:paraId="7F2D580A">
      <w:pPr>
        <w:pageBreakBefore w:val="0"/>
        <w:wordWrap/>
        <w:overflowPunct/>
        <w:topLinePunct w:val="0"/>
        <w:bidi w:val="0"/>
        <w:ind w:left="0" w:leftChars="0"/>
        <w:rPr>
          <w:rFonts w:hint="default" w:ascii="Times New Roman" w:hAnsi="Times New Roman" w:eastAsia="仿宋_GB2312" w:cs="Times New Roman"/>
          <w:color w:val="auto"/>
          <w:lang w:eastAsia="zh-CN"/>
        </w:rPr>
      </w:pPr>
      <w:r>
        <w:rPr>
          <w:rFonts w:hint="default" w:ascii="Times New Roman" w:hAnsi="Times New Roman" w:cs="Times New Roman"/>
          <w:color w:val="auto"/>
          <w:lang w:eastAsia="zh-CN"/>
        </w:rPr>
        <w:t>鼓励支持企业“走出去”，积极创办出口种植基地、供沪供港种植备案基地，</w:t>
      </w:r>
      <w:r>
        <w:rPr>
          <w:rFonts w:hint="default" w:ascii="Times New Roman" w:hAnsi="Times New Roman" w:cs="Times New Roman"/>
          <w:color w:val="auto"/>
        </w:rPr>
        <w:t>形成集聚发展格局</w:t>
      </w:r>
      <w:r>
        <w:rPr>
          <w:rFonts w:hint="default" w:ascii="Times New Roman" w:hAnsi="Times New Roman" w:cs="Times New Roman"/>
          <w:color w:val="auto"/>
          <w:lang w:eastAsia="zh-CN"/>
        </w:rPr>
        <w:t>。</w:t>
      </w:r>
      <w:r>
        <w:rPr>
          <w:rFonts w:hint="default" w:ascii="Times New Roman" w:hAnsi="Times New Roman" w:cs="Times New Roman"/>
          <w:color w:val="auto"/>
        </w:rPr>
        <w:t>健全农产品质量标准体系、提升出口农产品质量和附加值，提高出口产品的国际竞争力。</w:t>
      </w:r>
      <w:r>
        <w:rPr>
          <w:rFonts w:hint="default" w:ascii="Times New Roman" w:hAnsi="Times New Roman" w:cs="Times New Roman"/>
          <w:color w:val="auto"/>
          <w:lang w:val="en-US" w:eastAsia="zh-CN"/>
        </w:rPr>
        <w:t>支持</w:t>
      </w:r>
      <w:r>
        <w:rPr>
          <w:rFonts w:hint="default" w:ascii="Times New Roman" w:hAnsi="Times New Roman" w:cs="Times New Roman"/>
          <w:color w:val="auto"/>
        </w:rPr>
        <w:t>农产品</w:t>
      </w:r>
      <w:r>
        <w:rPr>
          <w:rFonts w:hint="default" w:ascii="Times New Roman" w:hAnsi="Times New Roman" w:cs="Times New Roman"/>
          <w:color w:val="auto"/>
          <w:lang w:val="en-US" w:eastAsia="zh-CN"/>
        </w:rPr>
        <w:t>加大</w:t>
      </w:r>
      <w:r>
        <w:rPr>
          <w:rFonts w:hint="default" w:ascii="Times New Roman" w:hAnsi="Times New Roman" w:cs="Times New Roman"/>
          <w:color w:val="auto"/>
        </w:rPr>
        <w:t>自营出口</w:t>
      </w:r>
      <w:r>
        <w:rPr>
          <w:rFonts w:hint="default" w:ascii="Times New Roman" w:hAnsi="Times New Roman" w:cs="Times New Roman"/>
          <w:color w:val="auto"/>
          <w:lang w:eastAsia="zh-CN"/>
        </w:rPr>
        <w:t>，</w:t>
      </w:r>
      <w:r>
        <w:rPr>
          <w:rFonts w:hint="default" w:ascii="Times New Roman" w:hAnsi="Times New Roman" w:cs="Times New Roman"/>
          <w:color w:val="auto"/>
        </w:rPr>
        <w:t>鼓励永井海苔、联海维景、泰森食品、佳之味食品、顺星速冻蔬菜、鑫鸿水产品等企业加大农产品出口力度，</w:t>
      </w:r>
      <w:r>
        <w:rPr>
          <w:rFonts w:hint="default" w:ascii="Times New Roman" w:hAnsi="Times New Roman" w:cs="Times New Roman"/>
          <w:color w:val="auto"/>
          <w:lang w:eastAsia="zh-CN"/>
        </w:rPr>
        <w:t>“</w:t>
      </w:r>
      <w:r>
        <w:rPr>
          <w:rFonts w:hint="default" w:ascii="Times New Roman" w:hAnsi="Times New Roman" w:cs="Times New Roman"/>
          <w:color w:val="auto"/>
        </w:rPr>
        <w:t>十五五</w:t>
      </w:r>
      <w:r>
        <w:rPr>
          <w:rFonts w:hint="default" w:ascii="Times New Roman" w:hAnsi="Times New Roman" w:cs="Times New Roman"/>
          <w:color w:val="auto"/>
          <w:lang w:eastAsia="zh-CN"/>
        </w:rPr>
        <w:t>”</w:t>
      </w:r>
      <w:r>
        <w:rPr>
          <w:rFonts w:hint="default" w:ascii="Times New Roman" w:hAnsi="Times New Roman" w:cs="Times New Roman"/>
          <w:color w:val="auto"/>
        </w:rPr>
        <w:t>期间农产品自营出口额达到1.5</w:t>
      </w:r>
      <w:r>
        <w:rPr>
          <w:rFonts w:hint="default" w:ascii="Times New Roman" w:hAnsi="Times New Roman" w:cs="Times New Roman"/>
          <w:color w:val="auto"/>
          <w:lang w:val="en-US" w:eastAsia="zh-CN"/>
        </w:rPr>
        <w:t>0</w:t>
      </w:r>
      <w:r>
        <w:rPr>
          <w:rFonts w:hint="default" w:ascii="Times New Roman" w:hAnsi="Times New Roman" w:cs="Times New Roman"/>
          <w:color w:val="auto"/>
        </w:rPr>
        <w:t>亿美元。大力改善营商环境，优化农业产业政策，整合资源，利用区位优势，吸引</w:t>
      </w:r>
      <w:r>
        <w:rPr>
          <w:rFonts w:hint="default" w:ascii="Times New Roman" w:hAnsi="Times New Roman" w:cs="Times New Roman"/>
          <w:color w:val="auto"/>
          <w:lang w:val="en-US" w:eastAsia="zh-CN"/>
        </w:rPr>
        <w:t>嘉吉粮油等国际</w:t>
      </w:r>
      <w:r>
        <w:rPr>
          <w:rFonts w:hint="default" w:ascii="Times New Roman" w:hAnsi="Times New Roman" w:cs="Times New Roman"/>
          <w:color w:val="auto"/>
        </w:rPr>
        <w:t>大型企业</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世界500强”企业</w:t>
      </w:r>
      <w:r>
        <w:rPr>
          <w:rFonts w:hint="default" w:ascii="Times New Roman" w:hAnsi="Times New Roman" w:cs="Times New Roman"/>
          <w:color w:val="auto"/>
        </w:rPr>
        <w:t>对设施农业、农产品加工、科技创新和仓储物流等环节的投资</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至2030年累计争取吸引外资</w:t>
      </w:r>
      <w:r>
        <w:rPr>
          <w:rFonts w:hint="default" w:ascii="Times New Roman" w:hAnsi="Times New Roman" w:cs="Times New Roman"/>
          <w:color w:val="auto"/>
        </w:rPr>
        <w:t>5亿</w:t>
      </w:r>
      <w:r>
        <w:rPr>
          <w:rFonts w:hint="default" w:ascii="Times New Roman" w:hAnsi="Times New Roman" w:cs="Times New Roman"/>
          <w:color w:val="auto"/>
          <w:lang w:val="en-US" w:eastAsia="zh-CN"/>
        </w:rPr>
        <w:t>美</w:t>
      </w:r>
      <w:r>
        <w:rPr>
          <w:rFonts w:hint="default" w:ascii="Times New Roman" w:hAnsi="Times New Roman" w:cs="Times New Roman"/>
          <w:color w:val="auto"/>
        </w:rPr>
        <w:t>元以上。</w:t>
      </w:r>
    </w:p>
    <w:p w14:paraId="7549049B">
      <w:pPr>
        <w:pStyle w:val="3"/>
        <w:pageBreakBefore w:val="0"/>
        <w:wordWrap/>
        <w:overflowPunct/>
        <w:topLinePunct w:val="0"/>
        <w:bidi w:val="0"/>
        <w:ind w:left="0" w:leftChars="0"/>
        <w:rPr>
          <w:rFonts w:hint="default" w:ascii="Times New Roman" w:hAnsi="Times New Roman" w:eastAsia="黑体" w:cs="Times New Roman"/>
          <w:color w:val="auto"/>
          <w:lang w:eastAsia="zh-CN"/>
        </w:rPr>
      </w:pPr>
      <w:bookmarkStart w:id="96" w:name="_Toc40238502"/>
      <w:bookmarkStart w:id="97" w:name="_Toc16107"/>
      <w:bookmarkStart w:id="98" w:name="_Toc1143942678"/>
      <w:r>
        <w:rPr>
          <w:rFonts w:hint="default" w:ascii="Times New Roman" w:hAnsi="Times New Roman" w:cs="Times New Roman"/>
          <w:color w:val="auto"/>
        </w:rPr>
        <w:t>三、</w:t>
      </w:r>
      <w:r>
        <w:rPr>
          <w:rFonts w:hint="default" w:ascii="Times New Roman" w:hAnsi="Times New Roman" w:cs="Times New Roman"/>
          <w:color w:val="auto"/>
          <w:lang w:eastAsia="zh-CN"/>
        </w:rPr>
        <w:t>强化</w:t>
      </w:r>
      <w:r>
        <w:rPr>
          <w:rFonts w:hint="default" w:ascii="Times New Roman" w:hAnsi="Times New Roman" w:cs="Times New Roman"/>
          <w:color w:val="auto"/>
        </w:rPr>
        <w:t>科技</w:t>
      </w:r>
      <w:r>
        <w:rPr>
          <w:rFonts w:hint="default" w:ascii="Times New Roman" w:hAnsi="Times New Roman" w:cs="Times New Roman"/>
          <w:color w:val="auto"/>
          <w:lang w:eastAsia="zh-CN"/>
        </w:rPr>
        <w:t>创新驱动</w:t>
      </w:r>
      <w:r>
        <w:rPr>
          <w:rFonts w:hint="default" w:ascii="Times New Roman" w:hAnsi="Times New Roman" w:cs="Times New Roman"/>
          <w:color w:val="auto"/>
        </w:rPr>
        <w:t xml:space="preserve"> </w:t>
      </w:r>
      <w:bookmarkEnd w:id="96"/>
      <w:r>
        <w:rPr>
          <w:rFonts w:hint="default" w:ascii="Times New Roman" w:hAnsi="Times New Roman" w:cs="Times New Roman"/>
          <w:color w:val="auto"/>
          <w:lang w:eastAsia="zh-CN"/>
        </w:rPr>
        <w:t>增强农业发展动能</w:t>
      </w:r>
      <w:bookmarkEnd w:id="97"/>
      <w:bookmarkEnd w:id="98"/>
    </w:p>
    <w:p w14:paraId="169B4D38">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lang w:eastAsia="zh-CN"/>
        </w:rPr>
        <w:t>以科技创新引领先进生产要素集聚，因地制宜发展农业新质生产力，</w:t>
      </w:r>
      <w:r>
        <w:rPr>
          <w:rFonts w:hint="default" w:ascii="Times New Roman" w:hAnsi="Times New Roman" w:cs="Times New Roman"/>
          <w:color w:val="auto"/>
        </w:rPr>
        <w:t>“十五五”期间</w:t>
      </w:r>
      <w:r>
        <w:rPr>
          <w:rFonts w:hint="default" w:ascii="Times New Roman" w:hAnsi="Times New Roman" w:cs="Times New Roman"/>
          <w:color w:val="auto"/>
          <w:lang w:val="en-US" w:eastAsia="zh-CN"/>
        </w:rPr>
        <w:t>依靠科技的力量和规模化社会服务体系，强化科技创新驱动，探索AI赋能农业产业链，激活、增强发展动能，</w:t>
      </w:r>
      <w:r>
        <w:rPr>
          <w:rFonts w:hint="default" w:ascii="Times New Roman" w:hAnsi="Times New Roman" w:cs="Times New Roman"/>
          <w:color w:val="auto"/>
        </w:rPr>
        <w:t>提高</w:t>
      </w:r>
      <w:r>
        <w:rPr>
          <w:rFonts w:hint="default" w:ascii="Times New Roman" w:hAnsi="Times New Roman" w:cs="Times New Roman"/>
          <w:color w:val="auto"/>
          <w:lang w:val="en-US" w:eastAsia="zh-CN"/>
        </w:rPr>
        <w:t>综合生产能力和</w:t>
      </w:r>
      <w:r>
        <w:rPr>
          <w:rFonts w:hint="default" w:ascii="Times New Roman" w:hAnsi="Times New Roman" w:cs="Times New Roman"/>
          <w:color w:val="auto"/>
        </w:rPr>
        <w:t>农业全要素生产率</w:t>
      </w:r>
      <w:r>
        <w:rPr>
          <w:rFonts w:hint="default" w:ascii="Times New Roman" w:hAnsi="Times New Roman" w:cs="Times New Roman"/>
          <w:color w:val="auto"/>
          <w:lang w:val="en-US" w:eastAsia="zh-CN"/>
        </w:rPr>
        <w:t>，实施“科技与人才赋能”和“绿色转型引领”等工程项目，推动经济实现质的有效提升和量的合理增长，</w:t>
      </w:r>
      <w:r>
        <w:rPr>
          <w:rFonts w:hint="default" w:ascii="Times New Roman" w:hAnsi="Times New Roman" w:cs="Times New Roman"/>
          <w:color w:val="auto"/>
        </w:rPr>
        <w:t>至2030年农业生产信息化率超过55%，农业劳动生产率提升至11.5</w:t>
      </w:r>
      <w:r>
        <w:rPr>
          <w:rFonts w:hint="default" w:ascii="Times New Roman" w:hAnsi="Times New Roman" w:cs="Times New Roman"/>
          <w:color w:val="auto"/>
          <w:lang w:val="en-US" w:eastAsia="zh-CN"/>
        </w:rPr>
        <w:t>0</w:t>
      </w:r>
      <w:r>
        <w:rPr>
          <w:rFonts w:hint="default" w:ascii="Times New Roman" w:hAnsi="Times New Roman" w:cs="Times New Roman"/>
          <w:color w:val="auto"/>
        </w:rPr>
        <w:t>万元/人。</w:t>
      </w:r>
    </w:p>
    <w:p w14:paraId="18A75771">
      <w:pPr>
        <w:pStyle w:val="4"/>
        <w:pageBreakBefore w:val="0"/>
        <w:wordWrap/>
        <w:overflowPunct/>
        <w:topLinePunct w:val="0"/>
        <w:bidi w:val="0"/>
        <w:ind w:left="0" w:leftChars="0"/>
        <w:rPr>
          <w:rFonts w:hint="default" w:ascii="Times New Roman" w:hAnsi="Times New Roman" w:eastAsia="楷体_GB2312" w:cs="Times New Roman"/>
          <w:color w:val="auto"/>
          <w:lang w:eastAsia="zh-CN"/>
        </w:rPr>
      </w:pPr>
      <w:bookmarkStart w:id="99" w:name="_Toc1978637956"/>
      <w:bookmarkStart w:id="100" w:name="_Toc20522"/>
      <w:bookmarkStart w:id="101" w:name="_Toc1970981202"/>
      <w:r>
        <w:rPr>
          <w:rFonts w:hint="default" w:ascii="Times New Roman" w:hAnsi="Times New Roman" w:cs="Times New Roman"/>
          <w:color w:val="auto"/>
        </w:rPr>
        <w:t>（一）推进现代种业</w:t>
      </w:r>
      <w:bookmarkEnd w:id="99"/>
      <w:r>
        <w:rPr>
          <w:rFonts w:hint="default" w:ascii="Times New Roman" w:hAnsi="Times New Roman" w:cs="Times New Roman"/>
          <w:color w:val="auto"/>
          <w:lang w:eastAsia="zh-CN"/>
        </w:rPr>
        <w:t>振兴</w:t>
      </w:r>
      <w:bookmarkEnd w:id="100"/>
      <w:bookmarkEnd w:id="101"/>
    </w:p>
    <w:p w14:paraId="0AC7C2C9">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rPr>
        <w:t>强化种质资源保护，</w:t>
      </w:r>
      <w:r>
        <w:rPr>
          <w:rFonts w:hint="default" w:ascii="Times New Roman" w:hAnsi="Times New Roman" w:cs="Times New Roman"/>
          <w:b/>
          <w:bCs/>
          <w:color w:val="auto"/>
          <w:lang w:eastAsia="zh-CN"/>
        </w:rPr>
        <w:t>筑牢种业发展根基。</w:t>
      </w:r>
      <w:r>
        <w:rPr>
          <w:rFonts w:hint="default" w:ascii="Times New Roman" w:hAnsi="Times New Roman" w:cs="Times New Roman"/>
          <w:color w:val="auto"/>
        </w:rPr>
        <w:t>聚焦海门山羊、沙乌头猪、海蜜甜瓜、“四青”作物等地方特色种质资源，完善“1</w:t>
      </w:r>
      <w:r>
        <w:rPr>
          <w:rFonts w:hint="default" w:ascii="Times New Roman" w:hAnsi="Times New Roman" w:cs="Times New Roman"/>
          <w:color w:val="auto"/>
          <w:lang w:val="en-US" w:eastAsia="zh-CN"/>
        </w:rPr>
        <w:t>个</w:t>
      </w:r>
      <w:r>
        <w:rPr>
          <w:rFonts w:hint="default" w:ascii="Times New Roman" w:hAnsi="Times New Roman" w:cs="Times New Roman"/>
          <w:color w:val="auto"/>
        </w:rPr>
        <w:t>作物种质资源圃+2</w:t>
      </w:r>
      <w:r>
        <w:rPr>
          <w:rFonts w:hint="default" w:ascii="Times New Roman" w:hAnsi="Times New Roman" w:cs="Times New Roman"/>
          <w:color w:val="auto"/>
          <w:lang w:val="en-US" w:eastAsia="zh-CN"/>
        </w:rPr>
        <w:t>个</w:t>
      </w:r>
      <w:r>
        <w:rPr>
          <w:rFonts w:hint="default" w:ascii="Times New Roman" w:hAnsi="Times New Roman" w:cs="Times New Roman"/>
          <w:color w:val="auto"/>
        </w:rPr>
        <w:t>畜禽保种场”特色种质资源保护体系。扩建国家级、省级种质资源库，扩大保存容量，重点保护地方特色农作物、畜禽种质等资源，建立“资源鉴定</w:t>
      </w:r>
      <w:r>
        <w:rPr>
          <w:rFonts w:hint="default" w:ascii="Times New Roman" w:hAnsi="Times New Roman" w:cs="Times New Roman"/>
          <w:color w:val="auto"/>
          <w:lang w:eastAsia="zh-CN"/>
        </w:rPr>
        <w:t>－</w:t>
      </w:r>
      <w:r>
        <w:rPr>
          <w:rFonts w:hint="default" w:ascii="Times New Roman" w:hAnsi="Times New Roman" w:cs="Times New Roman"/>
          <w:color w:val="auto"/>
        </w:rPr>
        <w:t>评价</w:t>
      </w:r>
      <w:r>
        <w:rPr>
          <w:rFonts w:hint="default" w:ascii="Times New Roman" w:hAnsi="Times New Roman" w:cs="Times New Roman"/>
          <w:color w:val="auto"/>
          <w:lang w:eastAsia="zh-CN"/>
        </w:rPr>
        <w:t>－</w:t>
      </w:r>
      <w:r>
        <w:rPr>
          <w:rFonts w:hint="default" w:ascii="Times New Roman" w:hAnsi="Times New Roman" w:cs="Times New Roman"/>
          <w:color w:val="auto"/>
        </w:rPr>
        <w:t>利用”全链条机制。推动沙乌头猪濒危畜禽遗传资源系统性保护。加强外来有害物种侵害防治。</w:t>
      </w:r>
    </w:p>
    <w:p w14:paraId="0EDCABFE">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rPr>
        <w:t>深化产学研协同创新，驱动优良品种选育</w:t>
      </w:r>
      <w:r>
        <w:rPr>
          <w:rFonts w:hint="default" w:ascii="Times New Roman" w:hAnsi="Times New Roman" w:cs="Times New Roman"/>
          <w:b/>
          <w:bCs/>
          <w:color w:val="auto"/>
          <w:lang w:eastAsia="zh-CN"/>
        </w:rPr>
        <w:t>。</w:t>
      </w:r>
      <w:r>
        <w:rPr>
          <w:rFonts w:hint="default" w:ascii="Times New Roman" w:hAnsi="Times New Roman" w:cs="Times New Roman"/>
          <w:color w:val="auto"/>
        </w:rPr>
        <w:t>联合高校院所共建生物育种联合攻关中心，开展粮油、</w:t>
      </w:r>
      <w:r>
        <w:rPr>
          <w:rFonts w:hint="default" w:ascii="Times New Roman" w:hAnsi="Times New Roman" w:cs="Times New Roman"/>
          <w:color w:val="auto"/>
          <w:lang w:eastAsia="zh-CN"/>
        </w:rPr>
        <w:t>蔬菜和水果</w:t>
      </w:r>
      <w:r>
        <w:rPr>
          <w:rFonts w:hint="default" w:ascii="Times New Roman" w:hAnsi="Times New Roman" w:cs="Times New Roman"/>
          <w:color w:val="auto"/>
        </w:rPr>
        <w:t>等主导产业的商业化育种。支持区农科所建设海门地方种质资源创新利用中心，力争选育1</w:t>
      </w:r>
      <w:r>
        <w:rPr>
          <w:rFonts w:hint="default" w:ascii="Times New Roman" w:hAnsi="Times New Roman" w:cs="Times New Roman"/>
          <w:color w:val="auto"/>
          <w:lang w:eastAsia="zh-CN"/>
        </w:rPr>
        <w:t>—</w:t>
      </w:r>
      <w:r>
        <w:rPr>
          <w:rFonts w:hint="default" w:ascii="Times New Roman" w:hAnsi="Times New Roman" w:cs="Times New Roman"/>
          <w:color w:val="auto"/>
        </w:rPr>
        <w:t>2个海蜜甜瓜或地方特色农作物新品种。以国家长江三角洲白山羊畜禽遗传资源保种场为依托</w:t>
      </w:r>
      <w:r>
        <w:rPr>
          <w:rFonts w:hint="default" w:ascii="Times New Roman" w:hAnsi="Times New Roman" w:cs="Times New Roman"/>
          <w:color w:val="auto"/>
          <w:lang w:eastAsia="zh-CN"/>
        </w:rPr>
        <w:t>，</w:t>
      </w:r>
      <w:r>
        <w:rPr>
          <w:rFonts w:hint="default" w:ascii="Times New Roman" w:hAnsi="Times New Roman" w:cs="Times New Roman"/>
          <w:color w:val="auto"/>
        </w:rPr>
        <w:t>通过原产地原生态活体保种与生物保种相结合的双保险模式，开展海门山羊保护工程，不断加强选种选配、性能测定、疫病净化、软件建设等工作，推进核心种群的快速扩群，到2030年核心种群规模扩大到</w:t>
      </w:r>
      <w:r>
        <w:rPr>
          <w:rFonts w:hint="default" w:ascii="Times New Roman" w:hAnsi="Times New Roman" w:cs="Times New Roman"/>
          <w:color w:val="auto"/>
          <w:lang w:val="en-US" w:eastAsia="zh-CN"/>
        </w:rPr>
        <w:t>8</w:t>
      </w:r>
      <w:r>
        <w:rPr>
          <w:rFonts w:hint="default" w:ascii="Times New Roman" w:hAnsi="Times New Roman" w:cs="Times New Roman"/>
          <w:color w:val="auto"/>
        </w:rPr>
        <w:t>00只，维持海门山羊遗传性状稳定，保持生物多样性，控制近交系数在合理范围内。通过海门山羊</w:t>
      </w:r>
      <w:r>
        <w:rPr>
          <w:rFonts w:hint="default" w:ascii="Times New Roman" w:hAnsi="Times New Roman" w:cs="Times New Roman"/>
          <w:color w:val="auto"/>
          <w:lang w:val="en-US" w:eastAsia="zh-CN"/>
        </w:rPr>
        <w:t>产</w:t>
      </w:r>
      <w:r>
        <w:rPr>
          <w:rFonts w:hint="default" w:ascii="Times New Roman" w:hAnsi="Times New Roman" w:cs="Times New Roman"/>
          <w:color w:val="auto"/>
        </w:rPr>
        <w:t>业研究院、科技小院等产学研合作平台，切实开展海门山羊优质笔料毛、优质肉质、高繁性能等特异性状的研究，到2030年海门山羊表型研究和基因研究取得重大进展，初步形成海门山羊评价体系。</w:t>
      </w:r>
    </w:p>
    <w:p w14:paraId="03190EF4">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lang w:val="en-US" w:eastAsia="zh-CN"/>
        </w:rPr>
        <w:t>壮大现代种业主体，</w:t>
      </w:r>
      <w:r>
        <w:rPr>
          <w:rFonts w:hint="default" w:ascii="Times New Roman" w:hAnsi="Times New Roman" w:cs="Times New Roman"/>
          <w:b/>
          <w:bCs/>
          <w:color w:val="auto"/>
        </w:rPr>
        <w:t>构建高效产业生态</w:t>
      </w:r>
      <w:r>
        <w:rPr>
          <w:rFonts w:hint="default" w:ascii="Times New Roman" w:hAnsi="Times New Roman" w:cs="Times New Roman"/>
          <w:b/>
          <w:bCs/>
          <w:color w:val="auto"/>
          <w:lang w:eastAsia="zh-CN"/>
        </w:rPr>
        <w:t>。</w:t>
      </w:r>
      <w:r>
        <w:rPr>
          <w:rFonts w:hint="default" w:ascii="Times New Roman" w:hAnsi="Times New Roman" w:cs="Times New Roman"/>
          <w:color w:val="auto"/>
        </w:rPr>
        <w:t>建设一批标准化种子繁育基地，推行“企业+基地+农户”模式，推动良种“育繁推一体化”发展，2030年全区水稻、小麦、大豆、玉米、油菜五大主要农作物良种覆盖率90%以上。大力推广海蜜甜瓜，做大做强海蜜甜瓜品牌和产业。</w:t>
      </w:r>
      <w:r>
        <w:rPr>
          <w:rFonts w:hint="default" w:ascii="Times New Roman" w:hAnsi="Times New Roman" w:cs="Times New Roman"/>
          <w:color w:val="auto"/>
          <w:lang w:val="en-US" w:eastAsia="zh-CN"/>
        </w:rPr>
        <w:t>支持区白山羊研究所建设“种业研究院”，进一步健全海门山羊繁育体系，挖掘与开发利用海门山羊优质特异性状，申报“国家级核心育种场”</w:t>
      </w:r>
      <w:r>
        <w:rPr>
          <w:rFonts w:hint="default" w:ascii="Times New Roman" w:hAnsi="Times New Roman" w:cs="Times New Roman"/>
          <w:color w:val="auto"/>
        </w:rPr>
        <w:t>；划定海门山羊养殖保种区，建立扩繁区，科学适度发展山羊规模养殖</w:t>
      </w:r>
      <w:r>
        <w:rPr>
          <w:rFonts w:hint="default" w:ascii="Times New Roman" w:hAnsi="Times New Roman" w:cs="Times New Roman"/>
          <w:color w:val="auto"/>
          <w:lang w:eastAsia="zh-CN"/>
        </w:rPr>
        <w:t>。</w:t>
      </w:r>
      <w:r>
        <w:rPr>
          <w:rFonts w:hint="default" w:ascii="Times New Roman" w:hAnsi="Times New Roman" w:cs="Times New Roman"/>
          <w:color w:val="auto"/>
        </w:rPr>
        <w:t>推进水产良种研发繁育。实施“种业企业扶优行动”，对研发投入达到一定规模的企业给予适当补贴，培育一批育繁推一体化</w:t>
      </w:r>
      <w:r>
        <w:rPr>
          <w:rFonts w:hint="default" w:ascii="Times New Roman" w:hAnsi="Times New Roman" w:cs="Times New Roman"/>
          <w:color w:val="auto"/>
          <w:lang w:val="en-US" w:eastAsia="zh-CN"/>
        </w:rPr>
        <w:t>的</w:t>
      </w:r>
      <w:r>
        <w:rPr>
          <w:rFonts w:hint="default" w:ascii="Times New Roman" w:hAnsi="Times New Roman" w:cs="Times New Roman"/>
          <w:color w:val="auto"/>
        </w:rPr>
        <w:t>种业企业。不断优化特色优势种苗中心培育扶持政策。全面落实新种子法、畜牧法及配套规章制度规定，严格落实种子、种畜禽生产经营备案制度，为种业市场有序发展保驾护航。</w:t>
      </w:r>
    </w:p>
    <w:p w14:paraId="574ADC86">
      <w:pPr>
        <w:pStyle w:val="4"/>
        <w:pageBreakBefore w:val="0"/>
        <w:wordWrap/>
        <w:overflowPunct/>
        <w:topLinePunct w:val="0"/>
        <w:bidi w:val="0"/>
        <w:ind w:left="0" w:leftChars="0"/>
        <w:rPr>
          <w:rFonts w:hint="default" w:ascii="Times New Roman" w:hAnsi="Times New Roman" w:cs="Times New Roman"/>
          <w:color w:val="auto"/>
        </w:rPr>
      </w:pPr>
      <w:bookmarkStart w:id="102" w:name="_Toc1345807039"/>
      <w:bookmarkStart w:id="103" w:name="_Toc538378398"/>
      <w:bookmarkStart w:id="104" w:name="_Toc8794"/>
      <w:r>
        <w:rPr>
          <w:rFonts w:hint="default" w:ascii="Times New Roman" w:hAnsi="Times New Roman" w:cs="Times New Roman"/>
          <w:color w:val="auto"/>
        </w:rPr>
        <w:t>（二）</w:t>
      </w:r>
      <w:r>
        <w:rPr>
          <w:rFonts w:hint="default" w:ascii="Times New Roman" w:hAnsi="Times New Roman" w:cs="Times New Roman"/>
          <w:color w:val="auto"/>
          <w:lang w:eastAsia="zh-CN"/>
        </w:rPr>
        <w:t>健全</w:t>
      </w:r>
      <w:r>
        <w:rPr>
          <w:rFonts w:hint="default" w:ascii="Times New Roman" w:hAnsi="Times New Roman" w:cs="Times New Roman"/>
          <w:color w:val="auto"/>
        </w:rPr>
        <w:t>农业服务体系</w:t>
      </w:r>
      <w:bookmarkEnd w:id="102"/>
      <w:bookmarkEnd w:id="103"/>
      <w:bookmarkEnd w:id="104"/>
    </w:p>
    <w:p w14:paraId="45549AA1">
      <w:pPr>
        <w:pageBreakBefore w:val="0"/>
        <w:wordWrap/>
        <w:overflowPunct/>
        <w:topLinePunct w:val="0"/>
        <w:bidi w:val="0"/>
        <w:ind w:left="0" w:leftChars="0"/>
        <w:rPr>
          <w:rFonts w:hint="default" w:ascii="Times New Roman" w:hAnsi="Times New Roman" w:cs="Times New Roman"/>
          <w:color w:val="auto"/>
          <w:lang w:val="en-US" w:eastAsia="zh-CN"/>
        </w:rPr>
      </w:pPr>
      <w:bookmarkStart w:id="105" w:name="_Toc1619156424"/>
      <w:bookmarkStart w:id="106" w:name="_Toc408308087"/>
      <w:bookmarkStart w:id="107" w:name="_Toc1410856461"/>
      <w:r>
        <w:rPr>
          <w:rFonts w:hint="default" w:ascii="Times New Roman" w:hAnsi="Times New Roman" w:cs="Times New Roman"/>
          <w:b/>
          <w:bCs/>
          <w:color w:val="auto"/>
          <w:lang w:val="en-US" w:eastAsia="zh-CN"/>
        </w:rPr>
        <w:t>构建</w:t>
      </w:r>
      <w:r>
        <w:rPr>
          <w:rFonts w:hint="default" w:ascii="Times New Roman" w:hAnsi="Times New Roman" w:cs="Times New Roman"/>
          <w:b/>
          <w:bCs/>
          <w:color w:val="auto"/>
        </w:rPr>
        <w:t>区域性农业综合服务</w:t>
      </w:r>
      <w:bookmarkEnd w:id="105"/>
      <w:bookmarkEnd w:id="106"/>
      <w:r>
        <w:rPr>
          <w:rFonts w:hint="default" w:ascii="Times New Roman" w:hAnsi="Times New Roman" w:cs="Times New Roman"/>
          <w:b/>
          <w:bCs/>
          <w:color w:val="auto"/>
          <w:lang w:val="en-US" w:eastAsia="zh-CN"/>
        </w:rPr>
        <w:t>体系</w:t>
      </w:r>
      <w:bookmarkStart w:id="108" w:name="_Toc328796171"/>
      <w:r>
        <w:rPr>
          <w:rFonts w:hint="default" w:ascii="Times New Roman" w:hAnsi="Times New Roman" w:cs="Times New Roman"/>
          <w:b/>
          <w:bCs/>
          <w:color w:val="auto"/>
          <w:lang w:val="en-US" w:eastAsia="zh-CN"/>
        </w:rPr>
        <w:t>。</w:t>
      </w:r>
      <w:r>
        <w:rPr>
          <w:rFonts w:hint="default" w:ascii="Times New Roman" w:hAnsi="Times New Roman" w:cs="Times New Roman"/>
          <w:color w:val="auto"/>
          <w:lang w:eastAsia="zh-CN"/>
        </w:rPr>
        <w:t>聚焦粮食安全和重要农产品有效供给、农业增效、农民增收等重点任务，根据资源禀赋、主导产业和服务能力，挖掘现有公益性与经营性农业技术推广服务资源，一次布局，分步实施，</w:t>
      </w:r>
      <w:r>
        <w:rPr>
          <w:rFonts w:hint="default" w:ascii="Times New Roman" w:hAnsi="Times New Roman" w:cs="Times New Roman"/>
          <w:color w:val="auto"/>
        </w:rPr>
        <w:t>统筹建设农技和农事两类综合服务中心，逐步</w:t>
      </w:r>
      <w:r>
        <w:rPr>
          <w:rFonts w:hint="default" w:ascii="Times New Roman" w:hAnsi="Times New Roman" w:cs="Times New Roman"/>
          <w:color w:val="auto"/>
          <w:lang w:val="en-US" w:eastAsia="zh-CN"/>
        </w:rPr>
        <w:t>完善</w:t>
      </w:r>
      <w:r>
        <w:rPr>
          <w:rFonts w:hint="default" w:ascii="Times New Roman" w:hAnsi="Times New Roman" w:cs="Times New Roman"/>
          <w:color w:val="auto"/>
        </w:rPr>
        <w:t>以科技</w:t>
      </w:r>
      <w:r>
        <w:rPr>
          <w:rFonts w:hint="default" w:ascii="Times New Roman" w:hAnsi="Times New Roman" w:cs="Times New Roman"/>
          <w:color w:val="auto"/>
          <w:lang w:val="en-US" w:eastAsia="zh-CN"/>
        </w:rPr>
        <w:t>运用</w:t>
      </w:r>
      <w:r>
        <w:rPr>
          <w:rFonts w:hint="default" w:ascii="Times New Roman" w:hAnsi="Times New Roman" w:cs="Times New Roman"/>
          <w:color w:val="auto"/>
        </w:rPr>
        <w:t>为核心、经营主体为依托、服务网络为支撑的“1+3</w:t>
      </w:r>
      <w:r>
        <w:rPr>
          <w:rFonts w:hint="default" w:ascii="Times New Roman" w:hAnsi="Times New Roman" w:cs="Times New Roman"/>
          <w:color w:val="auto"/>
          <w:lang w:val="en-US" w:eastAsia="zh-CN"/>
        </w:rPr>
        <w:t>+4</w:t>
      </w:r>
      <w:r>
        <w:rPr>
          <w:rFonts w:hint="default" w:ascii="Times New Roman" w:hAnsi="Times New Roman" w:cs="Times New Roman"/>
          <w:color w:val="auto"/>
        </w:rPr>
        <w:t>+11”区域性现代农业综合服务体系</w:t>
      </w:r>
      <w:r>
        <w:rPr>
          <w:rFonts w:hint="default" w:ascii="Times New Roman" w:hAnsi="Times New Roman" w:eastAsia="宋体" w:cs="Times New Roman"/>
          <w:color w:val="auto"/>
          <w:vertAlign w:val="superscript"/>
        </w:rPr>
        <w:footnoteReference w:id="9"/>
      </w:r>
      <w:r>
        <w:rPr>
          <w:rFonts w:hint="default" w:ascii="Times New Roman" w:hAnsi="Times New Roman" w:cs="Times New Roman"/>
          <w:color w:val="auto"/>
        </w:rPr>
        <w:t>（表</w:t>
      </w:r>
      <w:r>
        <w:rPr>
          <w:rFonts w:hint="default" w:ascii="Times New Roman" w:hAnsi="Times New Roman" w:cs="Times New Roman"/>
          <w:color w:val="auto"/>
          <w:lang w:val="en-US" w:eastAsia="zh-CN"/>
        </w:rPr>
        <w:t>3</w:t>
      </w:r>
      <w:r>
        <w:rPr>
          <w:rFonts w:hint="default" w:ascii="Times New Roman" w:hAnsi="Times New Roman" w:cs="Times New Roman"/>
          <w:color w:val="auto"/>
        </w:rPr>
        <w:t>）</w:t>
      </w:r>
      <w:r>
        <w:rPr>
          <w:rFonts w:hint="default" w:ascii="Times New Roman" w:hAnsi="Times New Roman" w:cs="Times New Roman"/>
          <w:color w:val="auto"/>
          <w:lang w:eastAsia="zh-CN"/>
        </w:rPr>
        <w:t>。到202</w:t>
      </w:r>
      <w:r>
        <w:rPr>
          <w:rFonts w:hint="default" w:ascii="Times New Roman" w:hAnsi="Times New Roman" w:cs="Times New Roman"/>
          <w:color w:val="auto"/>
          <w:lang w:val="en-US" w:eastAsia="zh-CN"/>
        </w:rPr>
        <w:t>6</w:t>
      </w:r>
      <w:r>
        <w:rPr>
          <w:rFonts w:hint="default" w:ascii="Times New Roman" w:hAnsi="Times New Roman" w:cs="Times New Roman"/>
          <w:color w:val="auto"/>
          <w:lang w:eastAsia="zh-CN"/>
        </w:rPr>
        <w:t>年底区域性农业综合服务中心（农技）完成服务场所改造提升、形成固定的农业技术推广服务团队、实现</w:t>
      </w:r>
      <w:bookmarkStart w:id="109" w:name="OLE_LINK9"/>
      <w:r>
        <w:rPr>
          <w:rFonts w:hint="default" w:ascii="Times New Roman" w:hAnsi="Times New Roman" w:cs="Times New Roman"/>
          <w:color w:val="auto"/>
          <w:lang w:eastAsia="zh-CN"/>
        </w:rPr>
        <w:t>智慧农情监测</w:t>
      </w:r>
      <w:bookmarkEnd w:id="109"/>
      <w:r>
        <w:rPr>
          <w:rFonts w:hint="default" w:ascii="Times New Roman" w:hAnsi="Times New Roman" w:cs="Times New Roman"/>
          <w:color w:val="auto"/>
          <w:lang w:eastAsia="zh-CN"/>
        </w:rPr>
        <w:t>系统</w:t>
      </w:r>
      <w:r>
        <w:rPr>
          <w:rFonts w:hint="default" w:ascii="Times New Roman" w:hAnsi="Times New Roman" w:cs="Times New Roman"/>
          <w:color w:val="auto"/>
          <w:lang w:val="en-US" w:eastAsia="zh-CN"/>
        </w:rPr>
        <w:t>产业</w:t>
      </w:r>
      <w:r>
        <w:rPr>
          <w:rFonts w:hint="default" w:ascii="Times New Roman" w:hAnsi="Times New Roman" w:cs="Times New Roman"/>
          <w:color w:val="auto"/>
          <w:lang w:eastAsia="zh-CN"/>
        </w:rPr>
        <w:t>全覆盖、“新农人”</w:t>
      </w:r>
      <w:r>
        <w:rPr>
          <w:rStyle w:val="29"/>
          <w:rFonts w:hint="default" w:ascii="Times New Roman" w:hAnsi="Times New Roman" w:cs="Times New Roman"/>
          <w:color w:val="auto"/>
          <w:lang w:eastAsia="zh-CN"/>
        </w:rPr>
        <w:footnoteReference w:id="10"/>
      </w:r>
      <w:r>
        <w:rPr>
          <w:rFonts w:hint="default" w:ascii="Times New Roman" w:hAnsi="Times New Roman" w:cs="Times New Roman"/>
          <w:color w:val="auto"/>
          <w:lang w:eastAsia="zh-CN"/>
        </w:rPr>
        <w:t>培育实践场所区域全覆盖、农业科技综合展示基地全覆盖。到2030年底</w:t>
      </w:r>
      <w:r>
        <w:rPr>
          <w:rFonts w:hint="default" w:ascii="Times New Roman" w:hAnsi="Times New Roman" w:cs="Times New Roman"/>
          <w:color w:val="auto"/>
          <w:lang w:val="en-US" w:eastAsia="zh-CN"/>
        </w:rPr>
        <w:t>前</w:t>
      </w:r>
      <w:r>
        <w:rPr>
          <w:rFonts w:hint="default" w:ascii="Times New Roman" w:hAnsi="Times New Roman" w:cs="Times New Roman"/>
          <w:color w:val="auto"/>
          <w:lang w:eastAsia="zh-CN"/>
        </w:rPr>
        <w:t>实现区域性农业综合服务中心（农技）能力全面提升</w:t>
      </w:r>
      <w:r>
        <w:rPr>
          <w:rFonts w:hint="default" w:ascii="Times New Roman" w:hAnsi="Times New Roman" w:cs="Times New Roman"/>
          <w:color w:val="auto"/>
          <w:lang w:val="en-US" w:eastAsia="zh-CN"/>
        </w:rPr>
        <w:t>。</w:t>
      </w:r>
    </w:p>
    <w:p w14:paraId="16AF18A3">
      <w:pPr>
        <w:pageBreakBefore w:val="0"/>
        <w:wordWrap/>
        <w:overflowPunct/>
        <w:topLinePunct w:val="0"/>
        <w:bidi w:val="0"/>
        <w:ind w:left="0" w:leftChars="0"/>
        <w:rPr>
          <w:rFonts w:hint="default" w:ascii="Times New Roman" w:hAnsi="Times New Roman" w:cs="Times New Roman"/>
          <w:color w:val="auto"/>
          <w:lang w:eastAsia="zh-CN"/>
        </w:rPr>
      </w:pPr>
      <w:r>
        <w:rPr>
          <w:rFonts w:hint="default" w:ascii="Times New Roman" w:hAnsi="Times New Roman" w:cs="Times New Roman"/>
          <w:b/>
          <w:bCs/>
          <w:color w:val="auto"/>
          <w:lang w:eastAsia="zh-CN"/>
        </w:rPr>
        <w:t>优化农业服务空间布局</w:t>
      </w:r>
      <w:r>
        <w:rPr>
          <w:rFonts w:hint="default" w:ascii="Times New Roman" w:hAnsi="Times New Roman" w:cs="Times New Roman"/>
          <w:color w:val="auto"/>
          <w:lang w:eastAsia="zh-CN"/>
        </w:rPr>
        <w:t>。建成东部、西部和北部3个区域性农业综合服务中心（农技），东部的服务余东镇、悦来镇、海门高新区和海永镇4个</w:t>
      </w:r>
      <w:r>
        <w:rPr>
          <w:rFonts w:hint="default" w:ascii="Times New Roman" w:hAnsi="Times New Roman" w:cs="Times New Roman"/>
          <w:color w:val="auto"/>
          <w:lang w:val="en-US" w:eastAsia="zh-CN"/>
        </w:rPr>
        <w:t>区</w:t>
      </w:r>
      <w:r>
        <w:rPr>
          <w:rFonts w:hint="default" w:ascii="Times New Roman" w:hAnsi="Times New Roman" w:cs="Times New Roman"/>
          <w:color w:val="auto"/>
          <w:lang w:eastAsia="zh-CN"/>
        </w:rPr>
        <w:t>镇，西部的服务三星镇、常乐镇、海门街道和三厂街道4镇（街道），北部区域性农业综合服务中心（农技）服务</w:t>
      </w:r>
      <w:r>
        <w:rPr>
          <w:rFonts w:hint="default" w:ascii="Times New Roman" w:hAnsi="Times New Roman" w:cs="Times New Roman"/>
          <w:color w:val="auto"/>
          <w:lang w:val="en-US" w:eastAsia="zh-CN"/>
        </w:rPr>
        <w:t>海门港经开区（</w:t>
      </w:r>
      <w:r>
        <w:rPr>
          <w:rFonts w:hint="default" w:ascii="Times New Roman" w:hAnsi="Times New Roman" w:cs="Times New Roman"/>
          <w:color w:val="auto"/>
          <w:lang w:eastAsia="zh-CN"/>
        </w:rPr>
        <w:t>包场镇）、正余镇和四甲镇3个镇。新建或扩建区域性农业综合服务中心（农事）4个，</w:t>
      </w:r>
      <w:r>
        <w:rPr>
          <w:rFonts w:hint="default" w:ascii="Times New Roman" w:hAnsi="Times New Roman" w:cs="Times New Roman"/>
          <w:color w:val="auto"/>
          <w:lang w:val="en-US" w:eastAsia="zh-CN"/>
        </w:rPr>
        <w:t>服务</w:t>
      </w:r>
      <w:r>
        <w:rPr>
          <w:rFonts w:hint="default" w:ascii="Times New Roman" w:hAnsi="Times New Roman" w:cs="Times New Roman"/>
          <w:color w:val="auto"/>
          <w:lang w:eastAsia="zh-CN"/>
        </w:rPr>
        <w:t>西部、南部、东部</w:t>
      </w:r>
      <w:r>
        <w:rPr>
          <w:rFonts w:hint="default" w:ascii="Times New Roman" w:hAnsi="Times New Roman" w:cs="Times New Roman"/>
          <w:color w:val="auto"/>
          <w:lang w:val="en-US" w:eastAsia="zh-CN"/>
        </w:rPr>
        <w:t>和</w:t>
      </w:r>
      <w:r>
        <w:rPr>
          <w:rFonts w:hint="default" w:ascii="Times New Roman" w:hAnsi="Times New Roman" w:cs="Times New Roman"/>
          <w:color w:val="auto"/>
          <w:lang w:eastAsia="zh-CN"/>
        </w:rPr>
        <w:t>中部</w:t>
      </w:r>
      <w:r>
        <w:rPr>
          <w:rFonts w:hint="default" w:ascii="Times New Roman" w:hAnsi="Times New Roman" w:cs="Times New Roman"/>
          <w:color w:val="auto"/>
          <w:lang w:val="en-US" w:eastAsia="zh-CN"/>
        </w:rPr>
        <w:t>各片区</w:t>
      </w:r>
      <w:r>
        <w:rPr>
          <w:rFonts w:hint="default" w:ascii="Times New Roman" w:hAnsi="Times New Roman" w:cs="Times New Roman"/>
          <w:color w:val="auto"/>
          <w:lang w:eastAsia="zh-CN"/>
        </w:rPr>
        <w:t>。</w:t>
      </w:r>
    </w:p>
    <w:p w14:paraId="5A91C9DC">
      <w:pPr>
        <w:pageBreakBefore w:val="0"/>
        <w:wordWrap/>
        <w:overflowPunct/>
        <w:topLinePunct w:val="0"/>
        <w:bidi w:val="0"/>
        <w:ind w:left="0" w:leftChars="0" w:firstLine="643" w:firstLineChars="200"/>
        <w:rPr>
          <w:rFonts w:hint="default" w:ascii="Times New Roman" w:hAnsi="Times New Roman" w:cs="Times New Roman"/>
          <w:color w:val="auto"/>
          <w:lang w:eastAsia="zh-CN"/>
        </w:rPr>
      </w:pPr>
      <w:r>
        <w:rPr>
          <w:rFonts w:hint="default" w:ascii="Times New Roman" w:hAnsi="Times New Roman" w:cs="Times New Roman"/>
          <w:b/>
          <w:bCs/>
          <w:color w:val="auto"/>
        </w:rPr>
        <w:t>明确服务中心</w:t>
      </w:r>
      <w:r>
        <w:rPr>
          <w:rFonts w:hint="default" w:ascii="Times New Roman" w:hAnsi="Times New Roman" w:cs="Times New Roman"/>
          <w:b/>
          <w:bCs/>
          <w:color w:val="auto"/>
          <w:lang w:eastAsia="zh-CN"/>
        </w:rPr>
        <w:t>功能定位。</w:t>
      </w:r>
      <w:r>
        <w:rPr>
          <w:rFonts w:hint="default" w:ascii="Times New Roman" w:hAnsi="Times New Roman" w:cs="Times New Roman"/>
          <w:color w:val="auto"/>
          <w:lang w:eastAsia="zh-CN"/>
        </w:rPr>
        <w:t>区域性</w:t>
      </w:r>
      <w:r>
        <w:rPr>
          <w:rFonts w:hint="default" w:ascii="Times New Roman" w:hAnsi="Times New Roman" w:cs="Times New Roman"/>
          <w:color w:val="auto"/>
          <w:lang w:val="en-US" w:eastAsia="zh-CN"/>
        </w:rPr>
        <w:t>综合</w:t>
      </w:r>
      <w:r>
        <w:rPr>
          <w:rFonts w:hint="default" w:ascii="Times New Roman" w:hAnsi="Times New Roman" w:cs="Times New Roman"/>
          <w:color w:val="auto"/>
          <w:lang w:eastAsia="zh-CN"/>
        </w:rPr>
        <w:t>服务中心（农技）是</w:t>
      </w:r>
      <w:r>
        <w:rPr>
          <w:rFonts w:hint="default" w:ascii="Times New Roman" w:hAnsi="Times New Roman" w:cs="Times New Roman"/>
          <w:color w:val="auto"/>
          <w:lang w:val="en-US" w:eastAsia="zh-CN"/>
        </w:rPr>
        <w:t>区</w:t>
      </w:r>
      <w:r>
        <w:rPr>
          <w:rFonts w:hint="default" w:ascii="Times New Roman" w:hAnsi="Times New Roman" w:cs="Times New Roman"/>
          <w:color w:val="auto"/>
          <w:lang w:eastAsia="zh-CN"/>
        </w:rPr>
        <w:t>推广中心派驻基层的分支机构，提供公益性服务，区域性综合服务中心（农事）提供</w:t>
      </w:r>
      <w:r>
        <w:rPr>
          <w:rFonts w:hint="default" w:ascii="Times New Roman" w:hAnsi="Times New Roman" w:cs="Times New Roman"/>
          <w:color w:val="auto"/>
          <w:lang w:val="en-US" w:eastAsia="zh-CN"/>
        </w:rPr>
        <w:t>经营性</w:t>
      </w:r>
      <w:r>
        <w:rPr>
          <w:rFonts w:hint="default" w:ascii="Times New Roman" w:hAnsi="Times New Roman" w:cs="Times New Roman"/>
          <w:color w:val="auto"/>
          <w:lang w:eastAsia="zh-CN"/>
        </w:rPr>
        <w:t>农事服务。区域性综合服务中心（农技）以保障粮食安全和重要农产品有效供给为目标，以农业机械化、绿色化、智能化为重点，为小农户和各类农业经营主体提供集成式产前产中产后服务、农技推广应用、农情监测与应急调度、农业智能化管理等农业综合服务，重点围绕农业新品种、新技术、新模式、新装备试验示范推广，“四良”技术集成展示，农业技术指导服务，“四情”监测</w:t>
      </w:r>
      <w:r>
        <w:rPr>
          <w:rFonts w:hint="default" w:ascii="Times New Roman" w:hAnsi="Times New Roman" w:cs="Times New Roman"/>
          <w:color w:val="auto"/>
          <w:lang w:val="en-US" w:eastAsia="zh-CN"/>
        </w:rPr>
        <w:t>和</w:t>
      </w:r>
      <w:r>
        <w:rPr>
          <w:rFonts w:hint="default" w:ascii="Times New Roman" w:hAnsi="Times New Roman" w:cs="Times New Roman"/>
          <w:color w:val="auto"/>
          <w:lang w:eastAsia="zh-CN"/>
        </w:rPr>
        <w:t>“新农人”培育，推进与南通市农机数字化管理应用平台互联互通。</w:t>
      </w:r>
    </w:p>
    <w:p w14:paraId="67D149A7">
      <w:pPr>
        <w:pStyle w:val="41"/>
        <w:pageBreakBefore w:val="0"/>
        <w:wordWrap/>
        <w:overflowPunct/>
        <w:topLinePunct w:val="0"/>
        <w:bidi w:val="0"/>
        <w:ind w:left="0" w:leftChars="0"/>
        <w:jc w:val="center"/>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3</w:t>
      </w:r>
      <w:r>
        <w:rPr>
          <w:rFonts w:hint="default" w:ascii="Times New Roman" w:hAnsi="Times New Roman" w:cs="Times New Roman"/>
          <w:color w:val="auto"/>
        </w:rPr>
        <w:t xml:space="preserve">  海门区域性农业综合服务体系“1+3</w:t>
      </w:r>
      <w:r>
        <w:rPr>
          <w:rFonts w:hint="default" w:ascii="Times New Roman" w:hAnsi="Times New Roman" w:cs="Times New Roman"/>
          <w:color w:val="auto"/>
          <w:lang w:val="en-US" w:eastAsia="zh-CN"/>
        </w:rPr>
        <w:t>+4</w:t>
      </w:r>
      <w:r>
        <w:rPr>
          <w:rFonts w:hint="default" w:ascii="Times New Roman" w:hAnsi="Times New Roman" w:cs="Times New Roman"/>
          <w:color w:val="auto"/>
        </w:rPr>
        <w:t>+11”</w:t>
      </w:r>
    </w:p>
    <w:bookmarkEnd w:id="108"/>
    <w:tbl>
      <w:tblPr>
        <w:tblStyle w:val="23"/>
        <w:tblpPr w:leftFromText="180" w:rightFromText="180" w:vertAnchor="text" w:horzAnchor="page" w:tblpXSpec="center" w:tblpY="183"/>
        <w:tblOverlap w:val="never"/>
        <w:tblW w:w="8855" w:type="dxa"/>
        <w:jc w:val="center"/>
        <w:tblLayout w:type="fixed"/>
        <w:tblCellMar>
          <w:top w:w="0" w:type="dxa"/>
          <w:left w:w="108" w:type="dxa"/>
          <w:bottom w:w="0" w:type="dxa"/>
          <w:right w:w="108" w:type="dxa"/>
        </w:tblCellMar>
      </w:tblPr>
      <w:tblGrid>
        <w:gridCol w:w="1484"/>
        <w:gridCol w:w="1193"/>
        <w:gridCol w:w="2517"/>
        <w:gridCol w:w="2468"/>
        <w:gridCol w:w="1193"/>
      </w:tblGrid>
      <w:tr w14:paraId="5C7DF586">
        <w:tblPrEx>
          <w:tblCellMar>
            <w:top w:w="0" w:type="dxa"/>
            <w:left w:w="108" w:type="dxa"/>
            <w:bottom w:w="0" w:type="dxa"/>
            <w:right w:w="108" w:type="dxa"/>
          </w:tblCellMar>
        </w:tblPrEx>
        <w:trPr>
          <w:trHeight w:val="500" w:hRule="atLeast"/>
          <w:jc w:val="center"/>
        </w:trPr>
        <w:tc>
          <w:tcPr>
            <w:tcW w:w="1484" w:type="dxa"/>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18F6D5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黑体" w:cs="Times New Roman"/>
                <w:color w:val="auto"/>
                <w:sz w:val="21"/>
                <w:szCs w:val="21"/>
              </w:rPr>
            </w:pPr>
            <w:bookmarkStart w:id="110" w:name="_Toc249243384"/>
            <w:r>
              <w:rPr>
                <w:rFonts w:hint="default" w:ascii="Times New Roman" w:hAnsi="Times New Roman" w:eastAsia="黑体" w:cs="Times New Roman"/>
                <w:color w:val="auto"/>
                <w:sz w:val="21"/>
                <w:szCs w:val="21"/>
                <w:lang w:bidi="ar"/>
              </w:rPr>
              <w:t>“1+3+</w:t>
            </w:r>
            <w:r>
              <w:rPr>
                <w:rFonts w:hint="default" w:ascii="Times New Roman" w:hAnsi="Times New Roman" w:eastAsia="黑体" w:cs="Times New Roman"/>
                <w:color w:val="auto"/>
                <w:sz w:val="21"/>
                <w:szCs w:val="21"/>
                <w:lang w:val="en-US" w:eastAsia="zh-CN" w:bidi="ar"/>
              </w:rPr>
              <w:t>4+</w:t>
            </w:r>
            <w:r>
              <w:rPr>
                <w:rFonts w:hint="default" w:ascii="Times New Roman" w:hAnsi="Times New Roman" w:eastAsia="黑体" w:cs="Times New Roman"/>
                <w:color w:val="auto"/>
                <w:sz w:val="21"/>
                <w:szCs w:val="21"/>
                <w:lang w:bidi="ar"/>
              </w:rPr>
              <w:t>11”服务体系</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3C006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lang w:val="en-US" w:eastAsia="zh-CN" w:bidi="ar"/>
              </w:rPr>
              <w:t>海门</w:t>
            </w:r>
            <w:r>
              <w:rPr>
                <w:rFonts w:hint="default" w:ascii="Times New Roman" w:hAnsi="Times New Roman" w:eastAsia="黑体" w:cs="Times New Roman"/>
                <w:color w:val="auto"/>
                <w:sz w:val="21"/>
                <w:szCs w:val="21"/>
                <w:lang w:bidi="ar"/>
              </w:rPr>
              <w:t>区农技推广中心“1”</w:t>
            </w:r>
          </w:p>
        </w:tc>
        <w:tc>
          <w:tcPr>
            <w:tcW w:w="498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6C260A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lang w:bidi="ar"/>
              </w:rPr>
              <w:t>区域性农业综合服务中心</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253F6D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lang w:eastAsia="zh-CN" w:bidi="ar"/>
              </w:rPr>
              <w:t>区镇（街道）</w:t>
            </w:r>
            <w:r>
              <w:rPr>
                <w:rFonts w:hint="default" w:ascii="Times New Roman" w:hAnsi="Times New Roman" w:eastAsia="黑体" w:cs="Times New Roman"/>
                <w:color w:val="auto"/>
                <w:sz w:val="21"/>
                <w:szCs w:val="21"/>
                <w:lang w:bidi="ar"/>
              </w:rPr>
              <w:t>农技服务“11”</w:t>
            </w:r>
          </w:p>
        </w:tc>
      </w:tr>
      <w:tr w14:paraId="1C0CDF2B">
        <w:tblPrEx>
          <w:tblCellMar>
            <w:top w:w="0" w:type="dxa"/>
            <w:left w:w="108" w:type="dxa"/>
            <w:bottom w:w="0" w:type="dxa"/>
            <w:right w:w="108" w:type="dxa"/>
          </w:tblCellMar>
        </w:tblPrEx>
        <w:trPr>
          <w:trHeight w:val="355" w:hRule="atLeast"/>
          <w:jc w:val="center"/>
        </w:trPr>
        <w:tc>
          <w:tcPr>
            <w:tcW w:w="1484" w:type="dxa"/>
            <w:vMerge w:val="continue"/>
            <w:tcBorders>
              <w:top w:val="single" w:color="000000" w:sz="4" w:space="0"/>
              <w:left w:val="single" w:color="000000" w:sz="4" w:space="0"/>
              <w:bottom w:val="single" w:color="000000" w:sz="4" w:space="0"/>
              <w:right w:val="single" w:color="000000" w:sz="4" w:space="0"/>
            </w:tcBorders>
            <w:vAlign w:val="center"/>
          </w:tcPr>
          <w:p w14:paraId="39E09B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default" w:ascii="Times New Roman" w:hAnsi="Times New Roman" w:eastAsia="宋体" w:cs="Times New Roman"/>
                <w:color w:val="auto"/>
                <w:sz w:val="21"/>
                <w:szCs w:val="21"/>
              </w:rPr>
            </w:pPr>
          </w:p>
        </w:tc>
        <w:tc>
          <w:tcPr>
            <w:tcW w:w="1193" w:type="dxa"/>
            <w:vMerge w:val="continue"/>
            <w:tcBorders>
              <w:top w:val="single" w:color="000000" w:sz="4" w:space="0"/>
              <w:left w:val="single" w:color="000000" w:sz="4" w:space="0"/>
              <w:bottom w:val="single" w:color="000000" w:sz="4" w:space="0"/>
              <w:right w:val="single" w:color="000000" w:sz="4" w:space="0"/>
            </w:tcBorders>
            <w:vAlign w:val="center"/>
          </w:tcPr>
          <w:p w14:paraId="2FE8B1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default" w:ascii="Times New Roman" w:hAnsi="Times New Roman" w:eastAsia="宋体" w:cs="Times New Roman"/>
                <w:color w:val="auto"/>
                <w:sz w:val="21"/>
                <w:szCs w:val="21"/>
              </w:rPr>
            </w:pPr>
          </w:p>
        </w:tc>
        <w:tc>
          <w:tcPr>
            <w:tcW w:w="2517"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71EDA8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lang w:bidi="ar"/>
              </w:rPr>
              <w:t>公益性农技服务中心“3”</w:t>
            </w:r>
          </w:p>
        </w:tc>
        <w:tc>
          <w:tcPr>
            <w:tcW w:w="2468"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14CAAD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lang w:bidi="ar"/>
              </w:rPr>
              <w:t>经营性农事服务中心“4”</w:t>
            </w:r>
          </w:p>
        </w:tc>
        <w:tc>
          <w:tcPr>
            <w:tcW w:w="1193" w:type="dxa"/>
            <w:vMerge w:val="continue"/>
            <w:tcBorders>
              <w:top w:val="single" w:color="000000" w:sz="4" w:space="0"/>
              <w:left w:val="single" w:color="000000" w:sz="4" w:space="0"/>
              <w:bottom w:val="single" w:color="000000" w:sz="4" w:space="0"/>
              <w:right w:val="single" w:color="000000" w:sz="4" w:space="0"/>
            </w:tcBorders>
            <w:vAlign w:val="center"/>
          </w:tcPr>
          <w:p w14:paraId="3D6E08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default" w:ascii="Times New Roman" w:hAnsi="Times New Roman" w:eastAsia="宋体" w:cs="Times New Roman"/>
                <w:color w:val="auto"/>
                <w:sz w:val="21"/>
                <w:szCs w:val="21"/>
              </w:rPr>
            </w:pPr>
          </w:p>
        </w:tc>
      </w:tr>
      <w:tr w14:paraId="724A6221">
        <w:tblPrEx>
          <w:tblCellMar>
            <w:top w:w="0" w:type="dxa"/>
            <w:left w:w="108" w:type="dxa"/>
            <w:bottom w:w="0" w:type="dxa"/>
            <w:right w:w="108" w:type="dxa"/>
          </w:tblCellMar>
        </w:tblPrEx>
        <w:trPr>
          <w:trHeight w:val="501" w:hRule="atLeast"/>
          <w:jc w:val="center"/>
        </w:trPr>
        <w:tc>
          <w:tcPr>
            <w:tcW w:w="1484" w:type="dxa"/>
            <w:tcBorders>
              <w:top w:val="single" w:color="000000" w:sz="4" w:space="0"/>
              <w:left w:val="single" w:color="000000" w:sz="4" w:space="0"/>
              <w:bottom w:val="single" w:color="000000" w:sz="4" w:space="0"/>
              <w:right w:val="single" w:color="000000" w:sz="4" w:space="0"/>
            </w:tcBorders>
            <w:noWrap/>
            <w:vAlign w:val="center"/>
          </w:tcPr>
          <w:p w14:paraId="3BAB16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性质</w:t>
            </w:r>
          </w:p>
        </w:tc>
        <w:tc>
          <w:tcPr>
            <w:tcW w:w="1193" w:type="dxa"/>
            <w:tcBorders>
              <w:top w:val="single" w:color="000000" w:sz="4" w:space="0"/>
              <w:left w:val="single" w:color="000000" w:sz="4" w:space="0"/>
              <w:bottom w:val="single" w:color="000000" w:sz="4" w:space="0"/>
              <w:right w:val="single" w:color="000000" w:sz="4" w:space="0"/>
            </w:tcBorders>
            <w:noWrap/>
            <w:vAlign w:val="center"/>
          </w:tcPr>
          <w:p w14:paraId="784A84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公益性</w:t>
            </w:r>
          </w:p>
        </w:tc>
        <w:tc>
          <w:tcPr>
            <w:tcW w:w="2517" w:type="dxa"/>
            <w:tcBorders>
              <w:top w:val="single" w:color="000000" w:sz="4" w:space="0"/>
              <w:left w:val="single" w:color="000000" w:sz="4" w:space="0"/>
              <w:bottom w:val="single" w:color="000000" w:sz="4" w:space="0"/>
              <w:right w:val="single" w:color="000000" w:sz="4" w:space="0"/>
            </w:tcBorders>
            <w:noWrap/>
            <w:vAlign w:val="center"/>
          </w:tcPr>
          <w:p w14:paraId="767C2E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公益性</w:t>
            </w:r>
          </w:p>
        </w:tc>
        <w:tc>
          <w:tcPr>
            <w:tcW w:w="2468" w:type="dxa"/>
            <w:tcBorders>
              <w:top w:val="single" w:color="000000" w:sz="4" w:space="0"/>
              <w:left w:val="single" w:color="000000" w:sz="4" w:space="0"/>
              <w:bottom w:val="single" w:color="000000" w:sz="4" w:space="0"/>
              <w:right w:val="single" w:color="000000" w:sz="4" w:space="0"/>
            </w:tcBorders>
            <w:noWrap/>
            <w:vAlign w:val="center"/>
          </w:tcPr>
          <w:p w14:paraId="0135E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经营性</w:t>
            </w:r>
          </w:p>
        </w:tc>
        <w:tc>
          <w:tcPr>
            <w:tcW w:w="1193" w:type="dxa"/>
            <w:tcBorders>
              <w:top w:val="single" w:color="000000" w:sz="4" w:space="0"/>
              <w:left w:val="single" w:color="000000" w:sz="4" w:space="0"/>
              <w:bottom w:val="single" w:color="000000" w:sz="4" w:space="0"/>
              <w:right w:val="single" w:color="000000" w:sz="4" w:space="0"/>
            </w:tcBorders>
            <w:noWrap/>
            <w:vAlign w:val="center"/>
          </w:tcPr>
          <w:p w14:paraId="7961F3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公益性</w:t>
            </w:r>
          </w:p>
        </w:tc>
      </w:tr>
      <w:tr w14:paraId="4F3F48F1">
        <w:tblPrEx>
          <w:tblCellMar>
            <w:top w:w="0" w:type="dxa"/>
            <w:left w:w="108" w:type="dxa"/>
            <w:bottom w:w="0" w:type="dxa"/>
            <w:right w:w="108" w:type="dxa"/>
          </w:tblCellMar>
        </w:tblPrEx>
        <w:trPr>
          <w:trHeight w:val="820" w:hRule="atLeast"/>
          <w:jc w:val="center"/>
        </w:trPr>
        <w:tc>
          <w:tcPr>
            <w:tcW w:w="1484" w:type="dxa"/>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5F5E45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服务区域</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1A6B14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全区</w:t>
            </w:r>
          </w:p>
        </w:tc>
        <w:tc>
          <w:tcPr>
            <w:tcW w:w="2517"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4C852D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宋体" w:cs="Times New Roman"/>
                <w:color w:val="auto"/>
                <w:sz w:val="21"/>
                <w:szCs w:val="21"/>
                <w:lang w:bidi="ar"/>
              </w:rPr>
            </w:pPr>
            <w:r>
              <w:rPr>
                <w:rFonts w:hint="default" w:ascii="Times New Roman" w:hAnsi="Times New Roman" w:eastAsia="宋体" w:cs="Times New Roman"/>
                <w:color w:val="auto"/>
                <w:sz w:val="21"/>
                <w:szCs w:val="21"/>
                <w:lang w:bidi="ar"/>
              </w:rPr>
              <w:t>东部：余东镇、悦来镇、</w:t>
            </w:r>
          </w:p>
          <w:p w14:paraId="7DC352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海门高新区、海永镇</w:t>
            </w:r>
          </w:p>
        </w:tc>
        <w:tc>
          <w:tcPr>
            <w:tcW w:w="2468" w:type="dxa"/>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top"/>
          </w:tcPr>
          <w:p w14:paraId="54EE8A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bidi="ar"/>
              </w:rPr>
              <w:t>西部</w:t>
            </w:r>
            <w:r>
              <w:rPr>
                <w:rFonts w:hint="default" w:ascii="Times New Roman" w:hAnsi="Times New Roman" w:eastAsia="宋体" w:cs="Times New Roman"/>
                <w:color w:val="auto"/>
                <w:sz w:val="21"/>
                <w:szCs w:val="21"/>
                <w:lang w:eastAsia="zh-CN" w:bidi="ar"/>
              </w:rPr>
              <w:t>：</w:t>
            </w:r>
            <w:r>
              <w:rPr>
                <w:rFonts w:hint="default" w:ascii="Times New Roman" w:hAnsi="Times New Roman" w:eastAsia="宋体" w:cs="Times New Roman"/>
                <w:color w:val="auto"/>
                <w:sz w:val="21"/>
                <w:szCs w:val="21"/>
                <w:lang w:val="en-US" w:eastAsia="zh-CN" w:bidi="ar"/>
              </w:rPr>
              <w:t>西部片区</w:t>
            </w:r>
          </w:p>
          <w:p w14:paraId="5A041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center"/>
              <w:rPr>
                <w:rFonts w:hint="default" w:ascii="Times New Roman" w:hAnsi="Times New Roman" w:eastAsia="宋体" w:cs="Times New Roman"/>
                <w:color w:val="auto"/>
                <w:sz w:val="21"/>
                <w:szCs w:val="21"/>
                <w:lang w:eastAsia="zh-CN" w:bidi="ar"/>
              </w:rPr>
            </w:pPr>
            <w:r>
              <w:rPr>
                <w:rFonts w:hint="default" w:ascii="Times New Roman" w:hAnsi="Times New Roman" w:eastAsia="宋体" w:cs="Times New Roman"/>
                <w:color w:val="auto"/>
                <w:sz w:val="21"/>
                <w:szCs w:val="21"/>
                <w:lang w:bidi="ar"/>
              </w:rPr>
              <w:t>南部</w:t>
            </w:r>
            <w:r>
              <w:rPr>
                <w:rFonts w:hint="default" w:ascii="Times New Roman" w:hAnsi="Times New Roman" w:eastAsia="宋体" w:cs="Times New Roman"/>
                <w:color w:val="auto"/>
                <w:sz w:val="21"/>
                <w:szCs w:val="21"/>
                <w:lang w:eastAsia="zh-CN" w:bidi="ar"/>
              </w:rPr>
              <w:t>：</w:t>
            </w:r>
            <w:r>
              <w:rPr>
                <w:rFonts w:hint="default" w:ascii="Times New Roman" w:hAnsi="Times New Roman" w:eastAsia="宋体" w:cs="Times New Roman"/>
                <w:color w:val="auto"/>
                <w:sz w:val="21"/>
                <w:szCs w:val="21"/>
                <w:lang w:val="en-US" w:eastAsia="zh-CN" w:bidi="ar"/>
              </w:rPr>
              <w:t>南部片区</w:t>
            </w:r>
          </w:p>
          <w:p w14:paraId="7225E1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center"/>
              <w:rPr>
                <w:rFonts w:hint="default" w:ascii="Times New Roman" w:hAnsi="Times New Roman" w:eastAsia="宋体" w:cs="Times New Roman"/>
                <w:color w:val="auto"/>
                <w:sz w:val="21"/>
                <w:szCs w:val="21"/>
                <w:lang w:eastAsia="zh-CN" w:bidi="ar"/>
              </w:rPr>
            </w:pPr>
            <w:r>
              <w:rPr>
                <w:rFonts w:hint="default" w:ascii="Times New Roman" w:hAnsi="Times New Roman" w:eastAsia="宋体" w:cs="Times New Roman"/>
                <w:color w:val="auto"/>
                <w:sz w:val="21"/>
                <w:szCs w:val="21"/>
                <w:lang w:bidi="ar"/>
              </w:rPr>
              <w:t>东部</w:t>
            </w:r>
            <w:r>
              <w:rPr>
                <w:rFonts w:hint="default" w:ascii="Times New Roman" w:hAnsi="Times New Roman" w:eastAsia="宋体" w:cs="Times New Roman"/>
                <w:color w:val="auto"/>
                <w:sz w:val="21"/>
                <w:szCs w:val="21"/>
                <w:lang w:eastAsia="zh-CN" w:bidi="ar"/>
              </w:rPr>
              <w:t>：</w:t>
            </w:r>
            <w:r>
              <w:rPr>
                <w:rFonts w:hint="default" w:ascii="Times New Roman" w:hAnsi="Times New Roman" w:eastAsia="宋体" w:cs="Times New Roman"/>
                <w:color w:val="auto"/>
                <w:sz w:val="21"/>
                <w:szCs w:val="21"/>
                <w:lang w:val="en-US" w:eastAsia="zh-CN" w:bidi="ar"/>
              </w:rPr>
              <w:t>东部片区</w:t>
            </w:r>
          </w:p>
          <w:p w14:paraId="6BC71E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center"/>
              <w:rPr>
                <w:rFonts w:hint="default" w:ascii="Times New Roman" w:hAnsi="Times New Roman" w:eastAsia="宋体" w:cs="Times New Roman"/>
                <w:color w:val="auto"/>
                <w:sz w:val="21"/>
                <w:szCs w:val="21"/>
                <w:lang w:eastAsia="zh-CN" w:bidi="ar"/>
              </w:rPr>
            </w:pPr>
            <w:r>
              <w:rPr>
                <w:rFonts w:hint="default" w:ascii="Times New Roman" w:hAnsi="Times New Roman" w:eastAsia="宋体" w:cs="Times New Roman"/>
                <w:color w:val="auto"/>
                <w:sz w:val="21"/>
                <w:szCs w:val="21"/>
                <w:lang w:bidi="ar"/>
              </w:rPr>
              <w:t>中部</w:t>
            </w:r>
            <w:r>
              <w:rPr>
                <w:rFonts w:hint="default" w:ascii="Times New Roman" w:hAnsi="Times New Roman" w:eastAsia="宋体" w:cs="Times New Roman"/>
                <w:color w:val="auto"/>
                <w:sz w:val="21"/>
                <w:szCs w:val="21"/>
                <w:lang w:eastAsia="zh-CN" w:bidi="ar"/>
              </w:rPr>
              <w:t>：</w:t>
            </w:r>
            <w:r>
              <w:rPr>
                <w:rFonts w:hint="default" w:ascii="Times New Roman" w:hAnsi="Times New Roman" w:eastAsia="宋体" w:cs="Times New Roman"/>
                <w:color w:val="auto"/>
                <w:sz w:val="21"/>
                <w:szCs w:val="21"/>
                <w:lang w:val="en-US" w:eastAsia="zh-CN" w:bidi="ar"/>
              </w:rPr>
              <w:t>中部片区</w:t>
            </w:r>
          </w:p>
          <w:p w14:paraId="5E5045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主要服务于</w:t>
            </w:r>
            <w:r>
              <w:rPr>
                <w:rFonts w:hint="default" w:ascii="Times New Roman" w:hAnsi="Times New Roman" w:eastAsia="宋体" w:cs="Times New Roman"/>
                <w:color w:val="auto"/>
                <w:sz w:val="21"/>
                <w:szCs w:val="21"/>
                <w:lang w:val="en-US" w:eastAsia="zh-CN" w:bidi="ar"/>
              </w:rPr>
              <w:t>片区</w:t>
            </w:r>
            <w:r>
              <w:rPr>
                <w:rFonts w:hint="default" w:ascii="Times New Roman" w:hAnsi="Times New Roman" w:eastAsia="宋体" w:cs="Times New Roman"/>
                <w:color w:val="auto"/>
                <w:sz w:val="21"/>
                <w:szCs w:val="21"/>
                <w:lang w:bidi="ar"/>
              </w:rPr>
              <w:t>内各区镇</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top"/>
          </w:tcPr>
          <w:p w14:paraId="49E601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bidi="ar"/>
              </w:rPr>
              <w:t>本</w:t>
            </w:r>
            <w:r>
              <w:rPr>
                <w:rFonts w:hint="default" w:ascii="Times New Roman" w:hAnsi="Times New Roman" w:eastAsia="宋体" w:cs="Times New Roman"/>
                <w:color w:val="auto"/>
                <w:sz w:val="21"/>
                <w:szCs w:val="21"/>
                <w:lang w:eastAsia="zh-CN" w:bidi="ar"/>
              </w:rPr>
              <w:t>区镇（街道）</w:t>
            </w:r>
          </w:p>
        </w:tc>
      </w:tr>
      <w:tr w14:paraId="0A36863B">
        <w:tblPrEx>
          <w:tblCellMar>
            <w:top w:w="0" w:type="dxa"/>
            <w:left w:w="108" w:type="dxa"/>
            <w:bottom w:w="0" w:type="dxa"/>
            <w:right w:w="108" w:type="dxa"/>
          </w:tblCellMar>
        </w:tblPrEx>
        <w:trPr>
          <w:trHeight w:val="880" w:hRule="atLeast"/>
          <w:jc w:val="center"/>
        </w:trPr>
        <w:tc>
          <w:tcPr>
            <w:tcW w:w="1484" w:type="dxa"/>
            <w:vMerge w:val="continue"/>
            <w:tcBorders>
              <w:top w:val="single" w:color="000000" w:sz="4" w:space="0"/>
              <w:left w:val="single" w:color="000000" w:sz="4" w:space="0"/>
              <w:bottom w:val="single" w:color="000000" w:sz="4" w:space="0"/>
              <w:right w:val="single" w:color="000000" w:sz="4" w:space="0"/>
            </w:tcBorders>
            <w:noWrap/>
            <w:vAlign w:val="center"/>
          </w:tcPr>
          <w:p w14:paraId="4329C4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default" w:ascii="Times New Roman" w:hAnsi="Times New Roman" w:eastAsia="宋体" w:cs="Times New Roman"/>
                <w:color w:val="auto"/>
                <w:sz w:val="21"/>
                <w:szCs w:val="21"/>
              </w:rPr>
            </w:pPr>
          </w:p>
        </w:tc>
        <w:tc>
          <w:tcPr>
            <w:tcW w:w="1193" w:type="dxa"/>
            <w:vMerge w:val="continue"/>
            <w:tcBorders>
              <w:top w:val="single" w:color="000000" w:sz="4" w:space="0"/>
              <w:left w:val="single" w:color="000000" w:sz="4" w:space="0"/>
              <w:bottom w:val="single" w:color="000000" w:sz="4" w:space="0"/>
              <w:right w:val="single" w:color="000000" w:sz="4" w:space="0"/>
            </w:tcBorders>
            <w:vAlign w:val="center"/>
          </w:tcPr>
          <w:p w14:paraId="6C328F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default" w:ascii="Times New Roman" w:hAnsi="Times New Roman" w:eastAsia="宋体" w:cs="Times New Roman"/>
                <w:color w:val="auto"/>
                <w:sz w:val="21"/>
                <w:szCs w:val="21"/>
              </w:rPr>
            </w:pPr>
          </w:p>
        </w:tc>
        <w:tc>
          <w:tcPr>
            <w:tcW w:w="2517"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57E8E3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center"/>
              <w:rPr>
                <w:rFonts w:hint="default" w:ascii="Times New Roman" w:hAnsi="Times New Roman" w:eastAsia="宋体" w:cs="Times New Roman"/>
                <w:color w:val="auto"/>
                <w:sz w:val="21"/>
                <w:szCs w:val="21"/>
                <w:lang w:bidi="ar"/>
              </w:rPr>
            </w:pPr>
            <w:r>
              <w:rPr>
                <w:rFonts w:hint="default" w:ascii="Times New Roman" w:hAnsi="Times New Roman" w:eastAsia="宋体" w:cs="Times New Roman"/>
                <w:color w:val="auto"/>
                <w:sz w:val="21"/>
                <w:szCs w:val="21"/>
                <w:lang w:bidi="ar"/>
              </w:rPr>
              <w:t>西部：三星镇、常乐镇、</w:t>
            </w:r>
          </w:p>
          <w:p w14:paraId="675A6F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海门街道、三厂街道</w:t>
            </w:r>
          </w:p>
        </w:tc>
        <w:tc>
          <w:tcPr>
            <w:tcW w:w="2468" w:type="dxa"/>
            <w:vMerge w:val="continue"/>
            <w:tcBorders>
              <w:top w:val="single" w:color="000000" w:sz="4" w:space="0"/>
              <w:left w:val="single" w:color="000000" w:sz="4" w:space="0"/>
              <w:bottom w:val="single" w:color="000000" w:sz="4" w:space="0"/>
              <w:right w:val="single" w:color="000000" w:sz="4" w:space="0"/>
            </w:tcBorders>
            <w:vAlign w:val="center"/>
          </w:tcPr>
          <w:p w14:paraId="1C1C5B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default" w:ascii="Times New Roman" w:hAnsi="Times New Roman" w:eastAsia="宋体" w:cs="Times New Roman"/>
                <w:color w:val="auto"/>
                <w:sz w:val="21"/>
                <w:szCs w:val="21"/>
              </w:rPr>
            </w:pPr>
          </w:p>
        </w:tc>
        <w:tc>
          <w:tcPr>
            <w:tcW w:w="1193" w:type="dxa"/>
            <w:vMerge w:val="continue"/>
            <w:tcBorders>
              <w:top w:val="single" w:color="000000" w:sz="4" w:space="0"/>
              <w:left w:val="single" w:color="000000" w:sz="4" w:space="0"/>
              <w:bottom w:val="single" w:color="000000" w:sz="4" w:space="0"/>
              <w:right w:val="single" w:color="000000" w:sz="4" w:space="0"/>
            </w:tcBorders>
            <w:noWrap/>
            <w:vAlign w:val="center"/>
          </w:tcPr>
          <w:p w14:paraId="25E3CB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default" w:ascii="Times New Roman" w:hAnsi="Times New Roman" w:eastAsia="宋体" w:cs="Times New Roman"/>
                <w:color w:val="auto"/>
                <w:sz w:val="21"/>
                <w:szCs w:val="21"/>
              </w:rPr>
            </w:pPr>
          </w:p>
        </w:tc>
      </w:tr>
      <w:tr w14:paraId="06167C87">
        <w:tblPrEx>
          <w:tblCellMar>
            <w:top w:w="0" w:type="dxa"/>
            <w:left w:w="108" w:type="dxa"/>
            <w:bottom w:w="0" w:type="dxa"/>
            <w:right w:w="108" w:type="dxa"/>
          </w:tblCellMar>
        </w:tblPrEx>
        <w:trPr>
          <w:trHeight w:val="655" w:hRule="atLeast"/>
          <w:jc w:val="center"/>
        </w:trPr>
        <w:tc>
          <w:tcPr>
            <w:tcW w:w="1484" w:type="dxa"/>
            <w:vMerge w:val="continue"/>
            <w:tcBorders>
              <w:top w:val="single" w:color="000000" w:sz="4" w:space="0"/>
              <w:left w:val="single" w:color="000000" w:sz="4" w:space="0"/>
              <w:bottom w:val="single" w:color="auto" w:sz="4" w:space="0"/>
              <w:right w:val="single" w:color="000000" w:sz="4" w:space="0"/>
            </w:tcBorders>
            <w:noWrap/>
            <w:vAlign w:val="center"/>
          </w:tcPr>
          <w:p w14:paraId="2E0919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default" w:ascii="Times New Roman" w:hAnsi="Times New Roman" w:eastAsia="宋体" w:cs="Times New Roman"/>
                <w:color w:val="auto"/>
                <w:sz w:val="21"/>
                <w:szCs w:val="21"/>
              </w:rPr>
            </w:pPr>
          </w:p>
        </w:tc>
        <w:tc>
          <w:tcPr>
            <w:tcW w:w="1193" w:type="dxa"/>
            <w:vMerge w:val="continue"/>
            <w:tcBorders>
              <w:top w:val="single" w:color="000000" w:sz="4" w:space="0"/>
              <w:left w:val="single" w:color="000000" w:sz="4" w:space="0"/>
              <w:bottom w:val="single" w:color="auto" w:sz="4" w:space="0"/>
              <w:right w:val="single" w:color="000000" w:sz="4" w:space="0"/>
            </w:tcBorders>
            <w:vAlign w:val="center"/>
          </w:tcPr>
          <w:p w14:paraId="209300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default" w:ascii="Times New Roman" w:hAnsi="Times New Roman" w:eastAsia="宋体" w:cs="Times New Roman"/>
                <w:color w:val="auto"/>
                <w:sz w:val="21"/>
                <w:szCs w:val="21"/>
              </w:rPr>
            </w:pPr>
          </w:p>
        </w:tc>
        <w:tc>
          <w:tcPr>
            <w:tcW w:w="2517" w:type="dxa"/>
            <w:tcBorders>
              <w:top w:val="single" w:color="000000" w:sz="4" w:space="0"/>
              <w:left w:val="single" w:color="000000" w:sz="4" w:space="0"/>
              <w:bottom w:val="single" w:color="auto" w:sz="4" w:space="0"/>
              <w:right w:val="single" w:color="000000" w:sz="4" w:space="0"/>
            </w:tcBorders>
            <w:shd w:val="clear" w:color="auto" w:fill="F1F1F1" w:themeFill="background1" w:themeFillShade="F2"/>
            <w:vAlign w:val="center"/>
          </w:tcPr>
          <w:p w14:paraId="5EAC8A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北部：</w:t>
            </w:r>
            <w:r>
              <w:rPr>
                <w:rFonts w:hint="default" w:ascii="Times New Roman" w:hAnsi="Times New Roman" w:eastAsia="宋体" w:cs="Times New Roman"/>
                <w:color w:val="auto"/>
                <w:sz w:val="21"/>
                <w:szCs w:val="21"/>
                <w:lang w:eastAsia="zh-CN" w:bidi="ar"/>
              </w:rPr>
              <w:t>海门港</w:t>
            </w:r>
            <w:r>
              <w:rPr>
                <w:rFonts w:hint="default" w:ascii="Times New Roman" w:hAnsi="Times New Roman" w:eastAsia="宋体" w:cs="Times New Roman"/>
                <w:color w:val="auto"/>
                <w:sz w:val="21"/>
                <w:szCs w:val="21"/>
                <w:lang w:val="en-US" w:eastAsia="zh-CN" w:bidi="ar"/>
              </w:rPr>
              <w:t>经开</w:t>
            </w:r>
            <w:r>
              <w:rPr>
                <w:rFonts w:hint="default" w:ascii="Times New Roman" w:hAnsi="Times New Roman" w:eastAsia="宋体" w:cs="Times New Roman"/>
                <w:color w:val="auto"/>
                <w:sz w:val="21"/>
                <w:szCs w:val="21"/>
                <w:lang w:eastAsia="zh-CN" w:bidi="ar"/>
              </w:rPr>
              <w:t>区（包场镇）</w:t>
            </w:r>
            <w:r>
              <w:rPr>
                <w:rFonts w:hint="default" w:ascii="Times New Roman" w:hAnsi="Times New Roman" w:eastAsia="宋体" w:cs="Times New Roman"/>
                <w:color w:val="auto"/>
                <w:sz w:val="21"/>
                <w:szCs w:val="21"/>
                <w:lang w:bidi="ar"/>
              </w:rPr>
              <w:t>、正余镇、四甲镇</w:t>
            </w:r>
          </w:p>
        </w:tc>
        <w:tc>
          <w:tcPr>
            <w:tcW w:w="2468" w:type="dxa"/>
            <w:vMerge w:val="continue"/>
            <w:tcBorders>
              <w:top w:val="single" w:color="000000" w:sz="4" w:space="0"/>
              <w:left w:val="single" w:color="000000" w:sz="4" w:space="0"/>
              <w:bottom w:val="single" w:color="auto" w:sz="4" w:space="0"/>
              <w:right w:val="single" w:color="000000" w:sz="4" w:space="0"/>
            </w:tcBorders>
            <w:vAlign w:val="center"/>
          </w:tcPr>
          <w:p w14:paraId="5E0AC1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default" w:ascii="Times New Roman" w:hAnsi="Times New Roman" w:eastAsia="宋体" w:cs="Times New Roman"/>
                <w:color w:val="auto"/>
                <w:sz w:val="21"/>
                <w:szCs w:val="21"/>
              </w:rPr>
            </w:pPr>
          </w:p>
        </w:tc>
        <w:tc>
          <w:tcPr>
            <w:tcW w:w="1193" w:type="dxa"/>
            <w:vMerge w:val="continue"/>
            <w:tcBorders>
              <w:top w:val="single" w:color="000000" w:sz="4" w:space="0"/>
              <w:left w:val="single" w:color="000000" w:sz="4" w:space="0"/>
              <w:bottom w:val="single" w:color="auto" w:sz="4" w:space="0"/>
              <w:right w:val="single" w:color="000000" w:sz="4" w:space="0"/>
            </w:tcBorders>
            <w:noWrap/>
            <w:vAlign w:val="center"/>
          </w:tcPr>
          <w:p w14:paraId="115C83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rPr>
                <w:rFonts w:hint="default" w:ascii="Times New Roman" w:hAnsi="Times New Roman" w:eastAsia="宋体" w:cs="Times New Roman"/>
                <w:color w:val="auto"/>
                <w:sz w:val="21"/>
                <w:szCs w:val="21"/>
              </w:rPr>
            </w:pPr>
          </w:p>
        </w:tc>
      </w:tr>
      <w:tr w14:paraId="2D7C23F3">
        <w:tblPrEx>
          <w:tblCellMar>
            <w:top w:w="0" w:type="dxa"/>
            <w:left w:w="108" w:type="dxa"/>
            <w:bottom w:w="0" w:type="dxa"/>
            <w:right w:w="108" w:type="dxa"/>
          </w:tblCellMar>
        </w:tblPrEx>
        <w:trPr>
          <w:trHeight w:val="385" w:hRule="atLeast"/>
          <w:jc w:val="center"/>
        </w:trPr>
        <w:tc>
          <w:tcPr>
            <w:tcW w:w="1484" w:type="dxa"/>
            <w:tcBorders>
              <w:top w:val="single" w:color="auto" w:sz="4" w:space="0"/>
              <w:left w:val="single" w:color="auto" w:sz="4" w:space="0"/>
              <w:bottom w:val="single" w:color="auto" w:sz="4" w:space="0"/>
              <w:right w:val="single" w:color="000000" w:sz="4" w:space="0"/>
            </w:tcBorders>
            <w:noWrap/>
            <w:vAlign w:val="center"/>
          </w:tcPr>
          <w:p w14:paraId="71A05D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宋体" w:cs="Times New Roman"/>
                <w:color w:val="auto"/>
                <w:sz w:val="21"/>
                <w:szCs w:val="21"/>
                <w:lang w:bidi="ar"/>
              </w:rPr>
            </w:pPr>
            <w:r>
              <w:rPr>
                <w:rFonts w:hint="default" w:ascii="Times New Roman" w:hAnsi="Times New Roman" w:eastAsia="宋体" w:cs="Times New Roman"/>
                <w:color w:val="auto"/>
                <w:sz w:val="21"/>
                <w:szCs w:val="21"/>
                <w:lang w:bidi="ar"/>
              </w:rPr>
              <w:t>职能或</w:t>
            </w:r>
          </w:p>
          <w:p w14:paraId="17F26B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工作要求</w:t>
            </w:r>
          </w:p>
        </w:tc>
        <w:tc>
          <w:tcPr>
            <w:tcW w:w="3710" w:type="dxa"/>
            <w:gridSpan w:val="2"/>
            <w:tcBorders>
              <w:top w:val="single" w:color="auto" w:sz="4" w:space="0"/>
              <w:left w:val="single" w:color="000000" w:sz="4" w:space="0"/>
              <w:bottom w:val="single" w:color="auto" w:sz="4" w:space="0"/>
              <w:right w:val="single" w:color="000000" w:sz="4" w:space="0"/>
            </w:tcBorders>
            <w:vAlign w:val="center"/>
          </w:tcPr>
          <w:p w14:paraId="3C7B8D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职能：以保障粮食安全和重要农产品有效供给为目标，以农业机械化、绿色化、智能化为重点，为小农户和各类新型农业经营主体集成式提供产前产中产后服务、农技推广应用、农情监测与应急调度、农业智能化管理等农业综合服务，重点围绕农业新品种、新技术、新模式、新装备试验示范推广，“四良”技术集成展示，农业技术指导服务，“四情”监测</w:t>
            </w:r>
            <w:r>
              <w:rPr>
                <w:rFonts w:hint="default" w:ascii="Times New Roman" w:hAnsi="Times New Roman" w:eastAsia="宋体" w:cs="Times New Roman"/>
                <w:color w:val="auto"/>
                <w:sz w:val="21"/>
                <w:szCs w:val="21"/>
                <w:lang w:val="en-US" w:eastAsia="zh-CN" w:bidi="ar"/>
              </w:rPr>
              <w:t>和</w:t>
            </w:r>
            <w:r>
              <w:rPr>
                <w:rFonts w:hint="default" w:ascii="Times New Roman" w:hAnsi="Times New Roman" w:eastAsia="宋体" w:cs="Times New Roman"/>
                <w:color w:val="auto"/>
                <w:sz w:val="21"/>
                <w:szCs w:val="21"/>
                <w:lang w:bidi="ar"/>
              </w:rPr>
              <w:t>“新农人”培育。</w:t>
            </w:r>
          </w:p>
        </w:tc>
        <w:tc>
          <w:tcPr>
            <w:tcW w:w="2468" w:type="dxa"/>
            <w:tcBorders>
              <w:top w:val="single" w:color="auto" w:sz="4" w:space="0"/>
              <w:left w:val="single" w:color="000000" w:sz="4" w:space="0"/>
              <w:bottom w:val="single" w:color="auto" w:sz="4" w:space="0"/>
              <w:right w:val="single" w:color="000000" w:sz="4" w:space="0"/>
            </w:tcBorders>
            <w:vAlign w:val="top"/>
          </w:tcPr>
          <w:p w14:paraId="09AF40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工作要求：布局科学合理、机具装备齐全、指挥调度顺畅、人员配备合理、机构运行规范、应急保障有效，成为集农业农机技术推广、示范展示、信息服务、产业培育等多功能于一体的现代化农业服务枢纽。</w:t>
            </w:r>
          </w:p>
        </w:tc>
        <w:tc>
          <w:tcPr>
            <w:tcW w:w="1193" w:type="dxa"/>
            <w:tcBorders>
              <w:top w:val="single" w:color="auto" w:sz="4" w:space="0"/>
              <w:left w:val="single" w:color="000000" w:sz="4" w:space="0"/>
              <w:bottom w:val="single" w:color="auto" w:sz="4" w:space="0"/>
              <w:right w:val="single" w:color="auto" w:sz="4" w:space="0"/>
            </w:tcBorders>
            <w:vAlign w:val="top"/>
          </w:tcPr>
          <w:p w14:paraId="4871DA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bidi="ar"/>
              </w:rPr>
              <w:t>职能：农业产业发展、行业管理、属地责任范围内的农业技术推广等。</w:t>
            </w:r>
          </w:p>
        </w:tc>
      </w:tr>
    </w:tbl>
    <w:p w14:paraId="7D85C122">
      <w:pPr>
        <w:pageBreakBefore w:val="0"/>
        <w:wordWrap/>
        <w:overflowPunct/>
        <w:topLinePunct w:val="0"/>
        <w:bidi w:val="0"/>
        <w:ind w:left="0" w:leftChars="0"/>
        <w:rPr>
          <w:rFonts w:hint="default" w:ascii="Times New Roman" w:hAnsi="Times New Roman" w:cs="Times New Roman"/>
          <w:color w:val="auto"/>
          <w:lang w:eastAsia="zh-CN"/>
        </w:rPr>
      </w:pPr>
    </w:p>
    <w:bookmarkEnd w:id="110"/>
    <w:p w14:paraId="58F043C2">
      <w:pPr>
        <w:pageBreakBefore w:val="0"/>
        <w:wordWrap/>
        <w:overflowPunct/>
        <w:topLinePunct w:val="0"/>
        <w:bidi w:val="0"/>
        <w:ind w:left="0" w:leftChars="0" w:firstLine="643" w:firstLineChars="200"/>
        <w:rPr>
          <w:rFonts w:hint="default" w:ascii="Times New Roman" w:hAnsi="Times New Roman" w:cs="Times New Roman"/>
          <w:color w:val="auto"/>
        </w:rPr>
      </w:pPr>
      <w:bookmarkStart w:id="111" w:name="_Toc178847292"/>
      <w:r>
        <w:rPr>
          <w:rFonts w:hint="default" w:ascii="Times New Roman" w:hAnsi="Times New Roman" w:cs="Times New Roman"/>
          <w:b/>
          <w:bCs/>
          <w:color w:val="auto"/>
          <w:lang w:eastAsia="zh-CN"/>
        </w:rPr>
        <w:t>夯实</w:t>
      </w:r>
      <w:r>
        <w:rPr>
          <w:rFonts w:hint="default" w:ascii="Times New Roman" w:hAnsi="Times New Roman" w:cs="Times New Roman"/>
          <w:b/>
          <w:bCs/>
          <w:color w:val="auto"/>
        </w:rPr>
        <w:t>镇级农技推广体系</w:t>
      </w:r>
      <w:r>
        <w:rPr>
          <w:rFonts w:hint="default" w:ascii="Times New Roman" w:hAnsi="Times New Roman" w:cs="Times New Roman"/>
          <w:b/>
          <w:bCs/>
          <w:color w:val="auto"/>
          <w:lang w:val="en-US" w:eastAsia="zh-CN"/>
        </w:rPr>
        <w:t>。</w:t>
      </w:r>
      <w:r>
        <w:rPr>
          <w:rFonts w:hint="default" w:ascii="Times New Roman" w:hAnsi="Times New Roman" w:cs="Times New Roman"/>
          <w:color w:val="auto"/>
          <w:lang w:val="en-US" w:eastAsia="zh-CN"/>
        </w:rPr>
        <w:t>镇级农业农村部门负责农业产业发展、行业管理、属地责任范围内的农业技术推广等相关工作，是区域性综合服务体系中的重要部分，位于区域性农业综合服务体系的末端、</w:t>
      </w:r>
      <w:r>
        <w:rPr>
          <w:rFonts w:hint="default" w:ascii="Times New Roman" w:hAnsi="Times New Roman" w:cs="Times New Roman"/>
          <w:color w:val="auto"/>
          <w:lang w:eastAsia="zh-CN"/>
        </w:rPr>
        <w:t>农业科技进村入户“最后一公里”</w:t>
      </w:r>
      <w:r>
        <w:rPr>
          <w:rFonts w:hint="default" w:ascii="Times New Roman" w:hAnsi="Times New Roman" w:cs="Times New Roman"/>
          <w:color w:val="auto"/>
          <w:lang w:val="en-US" w:eastAsia="zh-CN"/>
        </w:rPr>
        <w:t>。发挥区域性农业综合服务中心（农技）作用，</w:t>
      </w:r>
      <w:r>
        <w:rPr>
          <w:rFonts w:hint="default" w:ascii="Times New Roman" w:hAnsi="Times New Roman" w:cs="Times New Roman"/>
          <w:color w:val="auto"/>
        </w:rPr>
        <w:t>切实加强镇级农技服务力量，加快建设一支“懂农业、爱钻研、善推广”的新时代农业技术推广队伍，缓解农技推广人员年龄普遍偏大、人数较少的约束，提升现代</w:t>
      </w:r>
      <w:r>
        <w:rPr>
          <w:rFonts w:hint="default" w:ascii="Times New Roman" w:hAnsi="Times New Roman" w:cs="Times New Roman"/>
          <w:color w:val="auto"/>
          <w:lang w:val="en-US" w:eastAsia="zh-CN"/>
        </w:rPr>
        <w:t>科技</w:t>
      </w:r>
      <w:r>
        <w:rPr>
          <w:rFonts w:hint="default" w:ascii="Times New Roman" w:hAnsi="Times New Roman" w:cs="Times New Roman"/>
          <w:color w:val="auto"/>
        </w:rPr>
        <w:t>服务能力，推动农技服务直达田间地头，惠及千家万户。</w:t>
      </w:r>
      <w:bookmarkEnd w:id="111"/>
    </w:p>
    <w:bookmarkEnd w:id="107"/>
    <w:p w14:paraId="4DE7FF7B">
      <w:pPr>
        <w:pageBreakBefore w:val="0"/>
        <w:wordWrap/>
        <w:overflowPunct/>
        <w:topLinePunct w:val="0"/>
        <w:bidi w:val="0"/>
        <w:ind w:left="0" w:leftChars="0"/>
        <w:rPr>
          <w:rFonts w:hint="default" w:ascii="Times New Roman" w:hAnsi="Times New Roman" w:cs="Times New Roman"/>
          <w:color w:val="auto"/>
          <w:lang w:val="en-US" w:eastAsia="zh-CN"/>
        </w:rPr>
      </w:pPr>
      <w:r>
        <w:rPr>
          <w:rFonts w:hint="default" w:ascii="Times New Roman" w:hAnsi="Times New Roman" w:cs="Times New Roman"/>
          <w:b/>
          <w:bCs/>
          <w:color w:val="auto"/>
          <w:lang w:val="en-US" w:eastAsia="zh-CN"/>
        </w:rPr>
        <w:t>优化完善农业科技创新赋能机制。</w:t>
      </w:r>
      <w:r>
        <w:rPr>
          <w:rFonts w:hint="default" w:ascii="Times New Roman" w:hAnsi="Times New Roman" w:cs="Times New Roman"/>
          <w:color w:val="auto"/>
          <w:lang w:val="en-US" w:eastAsia="zh-CN"/>
        </w:rPr>
        <w:t>立足全区“六个一”特色农业产业布局，健全完善农业科技创新工作机制。搭建区级农业科创对接平台，建立部门联动、校地协同、企业参与的创新模式，深化与涉农科研院校合作，围绕特色种业、智慧农业等领域开展技术攻关与项目共建，推动技术人才下沉基层，有效破解产业技术难题。健全农业科技成果全链条转化体系，围绕品种改良、农机升级、绿色种养等环节，推广优良品种与先进技术，拓展“人工智能+农业”应用场景，打造智慧农业展示基地，打通科技成果落地应用“最后一公里”。建立区级农业科技企业培育名录，分层培育高新企业、专精特新企业和本土龙头企业，招引优质科创项目落地，建强科技小院平台，构建梯次发展的科创主体体系。规范用好农业科技专项资金，优化科创信贷与涉农保险服务，构建财政引导、产业支撑、社会参与的多元投入机制，筑牢农业科创发展保障。</w:t>
      </w:r>
    </w:p>
    <w:p w14:paraId="136AA89C">
      <w:pPr>
        <w:rPr>
          <w:rFonts w:hint="default" w:ascii="Times New Roman" w:hAnsi="Times New Roman" w:cs="Times New Roman"/>
          <w:color w:val="auto"/>
        </w:rPr>
      </w:pPr>
      <w:r>
        <w:rPr>
          <w:rFonts w:hint="default" w:ascii="Times New Roman" w:hAnsi="Times New Roman" w:cs="Times New Roman"/>
          <w:b/>
          <w:bCs/>
          <w:color w:val="auto"/>
          <w:lang w:val="en-US" w:eastAsia="zh-CN"/>
        </w:rPr>
        <w:t>强化农业科技服务能力。</w:t>
      </w:r>
      <w:r>
        <w:rPr>
          <w:rFonts w:hint="default" w:ascii="Times New Roman" w:hAnsi="Times New Roman" w:eastAsia="仿宋_GB2312" w:cs="Times New Roman"/>
          <w:color w:val="auto"/>
        </w:rPr>
        <w:t>建强服务队伍，夯实人才支撑</w:t>
      </w:r>
      <w:r>
        <w:rPr>
          <w:rFonts w:hint="default" w:ascii="Times New Roman" w:hAnsi="Times New Roman" w:eastAsia="仿宋_GB2312" w:cs="Times New Roman"/>
          <w:color w:val="auto"/>
          <w:lang w:eastAsia="zh-CN"/>
        </w:rPr>
        <w:t>。</w:t>
      </w:r>
      <w:r>
        <w:rPr>
          <w:rFonts w:hint="default" w:ascii="Times New Roman" w:hAnsi="Times New Roman" w:cs="Times New Roman"/>
          <w:color w:val="auto"/>
        </w:rPr>
        <w:t>加强科技服务队伍建设，着力培养一批“懂农业、爱农村、爱农民”的专业人才，</w:t>
      </w:r>
      <w:r>
        <w:rPr>
          <w:rFonts w:hint="default" w:ascii="Times New Roman" w:hAnsi="Times New Roman" w:cs="Times New Roman"/>
          <w:color w:val="auto"/>
          <w:lang w:eastAsia="zh-CN"/>
        </w:rPr>
        <w:t>推动</w:t>
      </w:r>
      <w:r>
        <w:rPr>
          <w:rFonts w:hint="default" w:ascii="Times New Roman" w:hAnsi="Times New Roman" w:cs="Times New Roman"/>
          <w:color w:val="auto"/>
        </w:rPr>
        <w:t>区域性农业综合服务中心（农技）成为服务“三农”的</w:t>
      </w:r>
      <w:r>
        <w:rPr>
          <w:rFonts w:hint="default" w:ascii="Times New Roman" w:hAnsi="Times New Roman" w:cs="Times New Roman"/>
          <w:color w:val="auto"/>
          <w:lang w:eastAsia="zh-CN"/>
        </w:rPr>
        <w:t>前沿哨所</w:t>
      </w:r>
      <w:r>
        <w:rPr>
          <w:rFonts w:hint="default" w:ascii="Times New Roman" w:hAnsi="Times New Roman" w:cs="Times New Roman"/>
          <w:color w:val="auto"/>
        </w:rPr>
        <w:t>，</w:t>
      </w:r>
      <w:r>
        <w:rPr>
          <w:rFonts w:hint="default" w:ascii="Times New Roman" w:hAnsi="Times New Roman" w:cs="Times New Roman"/>
          <w:color w:val="auto"/>
          <w:lang w:eastAsia="zh-CN"/>
        </w:rPr>
        <w:t>定期</w:t>
      </w:r>
      <w:r>
        <w:rPr>
          <w:rFonts w:hint="default" w:ascii="Times New Roman" w:hAnsi="Times New Roman" w:cs="Times New Roman"/>
          <w:color w:val="auto"/>
        </w:rPr>
        <w:t>选派新进人员与业务骨干下沉基层。特聘涉农科研院校专家、乡土人才、种田能手，吸纳退休农业专业技术人员，组建一支结构稳定、经验丰富的区域性农业综合服务团队。</w:t>
      </w:r>
    </w:p>
    <w:p w14:paraId="7D16CD05">
      <w:pPr>
        <w:rPr>
          <w:rFonts w:hint="default" w:ascii="Times New Roman" w:hAnsi="Times New Roman" w:cs="Times New Roman"/>
          <w:color w:val="auto"/>
        </w:rPr>
      </w:pPr>
      <w:r>
        <w:rPr>
          <w:rFonts w:hint="default" w:ascii="Times New Roman" w:hAnsi="Times New Roman" w:cs="Times New Roman"/>
          <w:b/>
          <w:bCs/>
          <w:color w:val="auto"/>
          <w:lang w:val="en-US" w:eastAsia="zh-CN"/>
        </w:rPr>
        <w:t>搭建服务平台，深化对接服务。</w:t>
      </w:r>
      <w:r>
        <w:rPr>
          <w:rFonts w:hint="default" w:ascii="Times New Roman" w:hAnsi="Times New Roman" w:eastAsia="仿宋_GB2312" w:cs="Times New Roman"/>
          <w:color w:val="auto"/>
        </w:rPr>
        <w:t>依</w:t>
      </w:r>
      <w:r>
        <w:rPr>
          <w:rFonts w:hint="default" w:ascii="Times New Roman" w:hAnsi="Times New Roman" w:cs="Times New Roman"/>
          <w:color w:val="auto"/>
        </w:rPr>
        <w:t>托亚夫科技服务工作站、科技特派员等平台，结合专家现场指导等专项活动，围绕政策咨询、产业对接等需求，组织开展乡村振兴服务能力提升等培训，深化镇村、企业与科研机构、高校的常态化对接。聚焦蔬菜水果、“四青”作物、农产品加工及休闲农业等重点产业，开展标准化培育行动，提供全产业链关键技术研发与集成应用服务，推动产业提质升级。</w:t>
      </w:r>
    </w:p>
    <w:p w14:paraId="3FF406A6">
      <w:pPr>
        <w:rPr>
          <w:rFonts w:hint="default" w:ascii="Times New Roman" w:hAnsi="Times New Roman" w:cs="Times New Roman"/>
          <w:color w:val="auto"/>
        </w:rPr>
      </w:pPr>
      <w:r>
        <w:rPr>
          <w:rFonts w:hint="default" w:ascii="Times New Roman" w:hAnsi="Times New Roman" w:cs="Times New Roman"/>
          <w:b/>
          <w:bCs/>
          <w:color w:val="auto"/>
          <w:lang w:val="en-US" w:eastAsia="zh-CN"/>
        </w:rPr>
        <w:t>建设示范基地，强化引领带动。</w:t>
      </w:r>
      <w:r>
        <w:rPr>
          <w:rFonts w:hint="default" w:ascii="Times New Roman" w:hAnsi="Times New Roman" w:cs="Times New Roman"/>
          <w:color w:val="auto"/>
        </w:rPr>
        <w:t>充分利用乡土人才、种</w:t>
      </w:r>
      <w:r>
        <w:rPr>
          <w:rFonts w:hint="default" w:ascii="Times New Roman" w:hAnsi="Times New Roman" w:cs="Times New Roman"/>
          <w:color w:val="auto"/>
          <w:lang w:eastAsia="zh-CN"/>
        </w:rPr>
        <w:t>田</w:t>
      </w:r>
      <w:r>
        <w:rPr>
          <w:rFonts w:hint="default" w:ascii="Times New Roman" w:hAnsi="Times New Roman" w:cs="Times New Roman"/>
          <w:color w:val="auto"/>
        </w:rPr>
        <w:t>能手的自</w:t>
      </w:r>
      <w:r>
        <w:rPr>
          <w:rFonts w:hint="default" w:ascii="Times New Roman" w:hAnsi="Times New Roman" w:cs="Times New Roman"/>
          <w:color w:val="auto"/>
          <w:lang w:eastAsia="zh-CN"/>
        </w:rPr>
        <w:t>建</w:t>
      </w:r>
      <w:r>
        <w:rPr>
          <w:rFonts w:hint="default" w:ascii="Times New Roman" w:hAnsi="Times New Roman" w:cs="Times New Roman"/>
          <w:color w:val="auto"/>
        </w:rPr>
        <w:t>基地，“十五五”期间打造3个以上与主导产业</w:t>
      </w:r>
      <w:r>
        <w:rPr>
          <w:rFonts w:hint="default" w:ascii="Times New Roman" w:hAnsi="Times New Roman" w:cs="Times New Roman"/>
          <w:color w:val="auto"/>
          <w:lang w:eastAsia="zh-CN"/>
        </w:rPr>
        <w:t>相关</w:t>
      </w:r>
      <w:r>
        <w:rPr>
          <w:rFonts w:hint="default" w:ascii="Times New Roman" w:hAnsi="Times New Roman" w:cs="Times New Roman"/>
          <w:color w:val="auto"/>
        </w:rPr>
        <w:t>的“新农人”培育</w:t>
      </w:r>
      <w:r>
        <w:rPr>
          <w:rFonts w:hint="default" w:ascii="Times New Roman" w:hAnsi="Times New Roman" w:cs="Times New Roman"/>
          <w:color w:val="auto"/>
          <w:lang w:eastAsia="zh-CN"/>
        </w:rPr>
        <w:t>场所</w:t>
      </w:r>
      <w:r>
        <w:rPr>
          <w:rFonts w:hint="default" w:ascii="Times New Roman" w:hAnsi="Times New Roman" w:cs="Times New Roman"/>
          <w:color w:val="auto"/>
        </w:rPr>
        <w:t>，建设覆盖绿色蔬菜、畜禽养殖、智慧农业等领域的成果孵化与应用样板区，设立蔬菜新品种引进、试验与示范基地。引导种植主体应用</w:t>
      </w:r>
      <w:r>
        <w:rPr>
          <w:rFonts w:hint="default" w:ascii="Times New Roman" w:hAnsi="Times New Roman" w:cs="Times New Roman"/>
          <w:color w:val="auto"/>
          <w:lang w:eastAsia="zh-CN"/>
        </w:rPr>
        <w:t>“四良”集成技术</w:t>
      </w:r>
      <w:r>
        <w:rPr>
          <w:rFonts w:hint="default" w:ascii="Times New Roman" w:hAnsi="Times New Roman" w:cs="Times New Roman"/>
          <w:color w:val="auto"/>
        </w:rPr>
        <w:t>，建设一批</w:t>
      </w:r>
      <w:r>
        <w:rPr>
          <w:rFonts w:hint="default" w:ascii="Times New Roman" w:hAnsi="Times New Roman" w:cs="Times New Roman"/>
          <w:color w:val="auto"/>
          <w:lang w:eastAsia="zh-CN"/>
        </w:rPr>
        <w:t>麦油丰产典型示范方、粮油周年高产竞赛方、全程全面机械化示范方</w:t>
      </w:r>
      <w:r>
        <w:rPr>
          <w:rFonts w:hint="default" w:ascii="Times New Roman" w:hAnsi="Times New Roman" w:cs="Times New Roman"/>
          <w:color w:val="auto"/>
        </w:rPr>
        <w:t>。</w:t>
      </w:r>
    </w:p>
    <w:p w14:paraId="5C859AB6">
      <w:pPr>
        <w:rPr>
          <w:rFonts w:hint="default" w:ascii="Times New Roman" w:hAnsi="Times New Roman" w:cs="Times New Roman"/>
          <w:color w:val="auto"/>
        </w:rPr>
      </w:pPr>
      <w:r>
        <w:rPr>
          <w:rFonts w:hint="default" w:ascii="Times New Roman" w:hAnsi="Times New Roman" w:cs="Times New Roman"/>
          <w:b/>
          <w:bCs/>
          <w:color w:val="auto"/>
          <w:lang w:val="en-US" w:eastAsia="zh-CN"/>
        </w:rPr>
        <w:t>开展科普培训，提升科技素养。</w:t>
      </w:r>
      <w:r>
        <w:rPr>
          <w:rFonts w:hint="default" w:ascii="Times New Roman" w:hAnsi="Times New Roman" w:cs="Times New Roman"/>
          <w:color w:val="auto"/>
        </w:rPr>
        <w:t>持续开展科技下乡和农业科普活动，普及农业科学知识，提升农民科技素养。</w:t>
      </w:r>
      <w:r>
        <w:rPr>
          <w:rFonts w:hint="default" w:ascii="Times New Roman" w:hAnsi="Times New Roman" w:cs="Times New Roman"/>
          <w:color w:val="auto"/>
          <w:lang w:eastAsia="zh-CN"/>
        </w:rPr>
        <w:t>通过开展科技服务培训等方式，提高科技服务的专业化、规范化水平</w:t>
      </w:r>
      <w:r>
        <w:rPr>
          <w:rFonts w:hint="default" w:ascii="Times New Roman" w:hAnsi="Times New Roman" w:cs="Times New Roman"/>
          <w:color w:val="auto"/>
        </w:rPr>
        <w:t>。充分发挥</w:t>
      </w:r>
      <w:r>
        <w:rPr>
          <w:rFonts w:hint="default" w:ascii="Times New Roman" w:hAnsi="Times New Roman" w:cs="Times New Roman"/>
          <w:color w:val="auto"/>
          <w:lang w:eastAsia="zh-CN"/>
        </w:rPr>
        <w:t>“江苏省四星级和三星级农作物病虫害专业化防治服务组织”</w:t>
      </w:r>
      <w:r>
        <w:rPr>
          <w:rFonts w:hint="default" w:ascii="Times New Roman" w:hAnsi="Times New Roman" w:cs="Times New Roman"/>
          <w:color w:val="auto"/>
        </w:rPr>
        <w:t>作用，加快绿色高效生产技术攻关集成与推广，系统提升农民的</w:t>
      </w:r>
      <w:r>
        <w:rPr>
          <w:rFonts w:hint="default" w:ascii="Times New Roman" w:hAnsi="Times New Roman" w:cs="Times New Roman"/>
          <w:color w:val="auto"/>
          <w:lang w:eastAsia="zh-CN"/>
        </w:rPr>
        <w:t>科技素质</w:t>
      </w:r>
      <w:r>
        <w:rPr>
          <w:rFonts w:hint="default" w:ascii="Times New Roman" w:hAnsi="Times New Roman" w:cs="Times New Roman"/>
          <w:color w:val="auto"/>
        </w:rPr>
        <w:t>和种植管理水平</w:t>
      </w:r>
      <w:r>
        <w:rPr>
          <w:rFonts w:hint="default" w:ascii="Times New Roman" w:hAnsi="Times New Roman" w:cs="Times New Roman"/>
          <w:color w:val="auto"/>
          <w:lang w:eastAsia="zh-CN"/>
        </w:rPr>
        <w:t>。</w:t>
      </w:r>
    </w:p>
    <w:p w14:paraId="43BBC72A">
      <w:pPr>
        <w:pageBreakBefore w:val="0"/>
        <w:wordWrap/>
        <w:overflowPunct/>
        <w:topLinePunct w:val="0"/>
        <w:bidi w:val="0"/>
        <w:ind w:left="0" w:leftChars="0"/>
        <w:rPr>
          <w:rFonts w:hint="default" w:ascii="Times New Roman" w:hAnsi="Times New Roman" w:eastAsia="仿宋_GB2312" w:cs="Times New Roman"/>
          <w:color w:val="auto"/>
        </w:rPr>
      </w:pPr>
      <w:r>
        <w:rPr>
          <w:rFonts w:hint="default" w:ascii="Times New Roman" w:hAnsi="Times New Roman" w:cs="Times New Roman"/>
          <w:b/>
          <w:bCs/>
          <w:color w:val="auto"/>
          <w:lang w:eastAsia="zh-CN"/>
        </w:rPr>
        <w:t>深化农民科技培训工程。</w:t>
      </w:r>
      <w:bookmarkStart w:id="112" w:name="_Toc574312903"/>
      <w:bookmarkStart w:id="113" w:name="_Toc1681134269"/>
      <w:r>
        <w:rPr>
          <w:rFonts w:hint="default" w:ascii="Times New Roman" w:hAnsi="Times New Roman" w:eastAsia="仿宋_GB2312" w:cs="Times New Roman"/>
          <w:color w:val="auto"/>
        </w:rPr>
        <w:t>实施分层分类培训，精准赋能产业人才</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围绕海门大米、绿色蔬果、</w:t>
      </w:r>
      <w:r>
        <w:rPr>
          <w:rFonts w:hint="default" w:ascii="Times New Roman" w:hAnsi="Times New Roman" w:cs="Times New Roman"/>
          <w:color w:val="auto"/>
        </w:rPr>
        <w:t>海门山羊、现代设施农业等特色主导产业，构建“产业分类＋能力分层”的“新农人”精准培育体系</w:t>
      </w:r>
      <w:r>
        <w:rPr>
          <w:rFonts w:hint="default" w:ascii="Times New Roman" w:hAnsi="Times New Roman" w:cs="Times New Roman"/>
          <w:color w:val="auto"/>
          <w:lang w:eastAsia="zh-CN"/>
        </w:rPr>
        <w:t>，</w:t>
      </w:r>
      <w:r>
        <w:rPr>
          <w:rFonts w:hint="default" w:ascii="Times New Roman" w:hAnsi="Times New Roman" w:cs="Times New Roman"/>
          <w:color w:val="auto"/>
        </w:rPr>
        <w:t>“十五五”期间全区培育“新农人”头雁</w:t>
      </w:r>
      <w:r>
        <w:rPr>
          <w:rFonts w:hint="default" w:ascii="Times New Roman" w:hAnsi="Times New Roman" w:cs="Times New Roman"/>
          <w:color w:val="auto"/>
          <w:lang w:val="en-US" w:eastAsia="zh-CN"/>
        </w:rPr>
        <w:t>30</w:t>
      </w:r>
      <w:r>
        <w:rPr>
          <w:rFonts w:hint="default" w:ascii="Times New Roman" w:hAnsi="Times New Roman" w:cs="Times New Roman"/>
          <w:color w:val="auto"/>
        </w:rPr>
        <w:t>人，带动培育“新农人”500人。面向普通农户普及水稻栽培与植保技术，通过“3天速成＋田间指导”年培训高素质农民超1000人</w:t>
      </w:r>
      <w:r>
        <w:rPr>
          <w:rFonts w:hint="default" w:ascii="Times New Roman" w:hAnsi="Times New Roman" w:cs="Times New Roman"/>
          <w:color w:val="auto"/>
          <w:lang w:val="en-US" w:eastAsia="zh-CN"/>
        </w:rPr>
        <w:t>以上</w:t>
      </w:r>
      <w:r>
        <w:rPr>
          <w:rFonts w:hint="default" w:ascii="Times New Roman" w:hAnsi="Times New Roman" w:cs="Times New Roman"/>
          <w:color w:val="auto"/>
          <w:lang w:eastAsia="zh-CN"/>
        </w:rPr>
        <w:t>。</w:t>
      </w:r>
      <w:r>
        <w:rPr>
          <w:rFonts w:hint="default" w:ascii="Times New Roman" w:hAnsi="Times New Roman" w:cs="Times New Roman"/>
          <w:color w:val="auto"/>
        </w:rPr>
        <w:t>聚焦高质高效生产，开展机械化、绿色防控技术培训及智能农机实训，培育“新农匠”</w:t>
      </w:r>
      <w:r>
        <w:rPr>
          <w:rFonts w:hint="default" w:ascii="Times New Roman" w:hAnsi="Times New Roman" w:cs="Times New Roman"/>
          <w:color w:val="auto"/>
          <w:lang w:eastAsia="zh-CN"/>
        </w:rPr>
        <w:t>。依托智能温室等实训基地开设智慧农业课程，</w:t>
      </w:r>
      <w:r>
        <w:rPr>
          <w:rFonts w:hint="default" w:ascii="Times New Roman" w:hAnsi="Times New Roman" w:cs="Times New Roman"/>
          <w:color w:val="auto"/>
        </w:rPr>
        <w:t>采取课堂教学、异地研学等多种形式，</w:t>
      </w:r>
      <w:r>
        <w:rPr>
          <w:rFonts w:hint="default" w:ascii="Times New Roman" w:hAnsi="Times New Roman" w:cs="Times New Roman"/>
          <w:color w:val="auto"/>
          <w:lang w:eastAsia="zh-CN"/>
        </w:rPr>
        <w:t>分产业、分层次组织开展专业技能轮训，推动农技人员知识持续更新，提升基层服务实效。紧扣</w:t>
      </w:r>
      <w:r>
        <w:rPr>
          <w:rFonts w:hint="default" w:ascii="Times New Roman" w:hAnsi="Times New Roman" w:cs="Times New Roman"/>
          <w:color w:val="auto"/>
        </w:rPr>
        <w:t>春季水产苗种放养、夏季生产管理</w:t>
      </w:r>
      <w:r>
        <w:rPr>
          <w:rFonts w:hint="default" w:ascii="Times New Roman" w:hAnsi="Times New Roman" w:cs="Times New Roman"/>
          <w:color w:val="auto"/>
          <w:lang w:eastAsia="zh-CN"/>
        </w:rPr>
        <w:t>等渔业关键环节，每年开展标准化特色养殖、疫病防控与精深加工技术专题培训，构建“养殖</w:t>
      </w:r>
      <w:r>
        <w:rPr>
          <w:rFonts w:hint="default" w:ascii="Times New Roman" w:hAnsi="Times New Roman" w:cs="Times New Roman"/>
          <w:color w:val="auto"/>
        </w:rPr>
        <w:t>+</w:t>
      </w:r>
      <w:r>
        <w:rPr>
          <w:rFonts w:hint="default" w:ascii="Times New Roman" w:hAnsi="Times New Roman" w:cs="Times New Roman"/>
          <w:color w:val="auto"/>
          <w:lang w:eastAsia="zh-CN"/>
        </w:rPr>
        <w:t>加工”一体化的全链条实训体系。</w:t>
      </w:r>
      <w:r>
        <w:rPr>
          <w:rFonts w:hint="default" w:ascii="Times New Roman" w:hAnsi="Times New Roman" w:cs="Times New Roman"/>
          <w:color w:val="auto"/>
        </w:rPr>
        <w:t>面向家庭农场主和合作社骨干开设经营管理与市场对接课程，培育“新农商”50人</w:t>
      </w:r>
      <w:r>
        <w:rPr>
          <w:rFonts w:hint="default" w:ascii="Times New Roman" w:hAnsi="Times New Roman" w:cs="Times New Roman"/>
          <w:color w:val="auto"/>
          <w:lang w:eastAsia="zh-CN"/>
        </w:rPr>
        <w:t>。</w:t>
      </w:r>
      <w:r>
        <w:rPr>
          <w:rFonts w:hint="default" w:ascii="Times New Roman" w:hAnsi="Times New Roman" w:cs="Times New Roman"/>
          <w:color w:val="auto"/>
        </w:rPr>
        <w:t>面向产业带头人实施“头雁领航计划”，带动产业集群发展。同时开设智慧农业课程，组织专业技能轮训，并围绕渔业生产关键环节开展养殖、加工全链条培</w:t>
      </w:r>
      <w:r>
        <w:rPr>
          <w:rFonts w:hint="default" w:ascii="Times New Roman" w:hAnsi="Times New Roman" w:eastAsia="仿宋_GB2312" w:cs="Times New Roman"/>
          <w:color w:val="auto"/>
        </w:rPr>
        <w:t>训。</w:t>
      </w:r>
    </w:p>
    <w:p w14:paraId="452AC7FD">
      <w:pPr>
        <w:pageBreakBefore w:val="0"/>
        <w:wordWrap/>
        <w:overflowPunct/>
        <w:topLinePunct w:val="0"/>
        <w:bidi w:val="0"/>
        <w:ind w:left="0" w:leftChars="0"/>
        <w:rPr>
          <w:rFonts w:hint="default" w:ascii="Times New Roman" w:hAnsi="Times New Roman" w:eastAsia="仿宋_GB2312" w:cs="Times New Roman"/>
          <w:color w:val="auto"/>
        </w:rPr>
      </w:pPr>
      <w:r>
        <w:rPr>
          <w:rFonts w:hint="default" w:ascii="Times New Roman" w:hAnsi="Times New Roman" w:eastAsia="仿宋_GB2312" w:cs="Times New Roman"/>
          <w:color w:val="auto"/>
        </w:rPr>
        <w:t>强化实践平台建设，创新培训教学模式</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升级一批“新农人”实践所，新增一批实训基地与技术示范基地等教学点，推行“理论授课＋田间实操＋创业孵化”的培养模式，推动培训内容与生产实践深度融合。遴选一批优秀“新农人”领办“田间学校”，带动周边农户应用新技术、新模式，实现“培育一人、带动一片”的辐射效应。</w:t>
      </w:r>
    </w:p>
    <w:p w14:paraId="124B044E">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eastAsia="仿宋_GB2312" w:cs="Times New Roman"/>
          <w:color w:val="auto"/>
        </w:rPr>
        <w:t>健全服务保障机制，畅通成长发展通道</w:t>
      </w:r>
      <w:r>
        <w:rPr>
          <w:rFonts w:hint="default" w:ascii="Times New Roman" w:hAnsi="Times New Roman" w:eastAsia="仿宋_GB2312" w:cs="Times New Roman"/>
          <w:color w:val="auto"/>
          <w:lang w:eastAsia="zh-CN"/>
        </w:rPr>
        <w:t>。</w:t>
      </w:r>
      <w:r>
        <w:rPr>
          <w:rFonts w:hint="default" w:ascii="Times New Roman" w:hAnsi="Times New Roman" w:cs="Times New Roman"/>
          <w:color w:val="auto"/>
        </w:rPr>
        <w:t>建立“新农人—专家”结对指导机制，为重点培育对象配备技术导师，提供全产业链跟踪服务。推动培训与学历提升、职称评定相衔接，</w:t>
      </w:r>
      <w:r>
        <w:rPr>
          <w:rFonts w:hint="default" w:ascii="Times New Roman" w:hAnsi="Times New Roman" w:cs="Times New Roman"/>
          <w:color w:val="auto"/>
          <w:lang w:val="en-US" w:eastAsia="zh-CN"/>
        </w:rPr>
        <w:t>对取得农业职业经理人证书、乡土人才职称的给予奖励。</w:t>
      </w:r>
      <w:r>
        <w:rPr>
          <w:rFonts w:hint="default" w:ascii="Times New Roman" w:hAnsi="Times New Roman" w:cs="Times New Roman"/>
          <w:color w:val="auto"/>
        </w:rPr>
        <w:t>支持符合条件的人才申报职称和有关人才项目，大力培育本土优秀乡土人才，建立乡土人才工作室。建立健全乡村人才分级分类评价体系，引导各地实行职称评审定向评价、定向使用。强化政策引导与资源对接，持续助力“新农人”成长发展，形成“培训—实践—服务—提升”的良性循环。</w:t>
      </w:r>
    </w:p>
    <w:p w14:paraId="23759A41">
      <w:pPr>
        <w:pStyle w:val="4"/>
        <w:pageBreakBefore w:val="0"/>
        <w:wordWrap/>
        <w:overflowPunct/>
        <w:topLinePunct w:val="0"/>
        <w:bidi w:val="0"/>
        <w:ind w:left="0" w:leftChars="0"/>
        <w:rPr>
          <w:rFonts w:hint="default" w:ascii="Times New Roman" w:hAnsi="Times New Roman" w:cs="Times New Roman"/>
          <w:color w:val="auto"/>
        </w:rPr>
      </w:pPr>
      <w:bookmarkStart w:id="114" w:name="_Toc23021"/>
      <w:r>
        <w:rPr>
          <w:rFonts w:hint="default" w:ascii="Times New Roman" w:hAnsi="Times New Roman" w:cs="Times New Roman"/>
          <w:color w:val="auto"/>
        </w:rPr>
        <w:t>（三）</w:t>
      </w:r>
      <w:bookmarkEnd w:id="112"/>
      <w:r>
        <w:rPr>
          <w:rFonts w:hint="default" w:ascii="Times New Roman" w:hAnsi="Times New Roman" w:cs="Times New Roman"/>
          <w:color w:val="auto"/>
        </w:rPr>
        <w:t>提</w:t>
      </w:r>
      <w:r>
        <w:rPr>
          <w:rFonts w:hint="default" w:ascii="Times New Roman" w:hAnsi="Times New Roman" w:cs="Times New Roman"/>
          <w:color w:val="auto"/>
          <w:lang w:eastAsia="zh-CN"/>
        </w:rPr>
        <w:t>升</w:t>
      </w:r>
      <w:r>
        <w:rPr>
          <w:rFonts w:hint="default" w:ascii="Times New Roman" w:hAnsi="Times New Roman" w:cs="Times New Roman"/>
          <w:color w:val="auto"/>
        </w:rPr>
        <w:t>农业机械化水平</w:t>
      </w:r>
      <w:bookmarkEnd w:id="113"/>
      <w:bookmarkEnd w:id="114"/>
    </w:p>
    <w:p w14:paraId="3BFD9A0A">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lang w:eastAsia="zh-CN"/>
        </w:rPr>
        <w:t>着力补齐农机装备短板。</w:t>
      </w:r>
      <w:r>
        <w:rPr>
          <w:rFonts w:hint="eastAsia" w:ascii="Times New Roman" w:hAnsi="Times New Roman" w:cs="Times New Roman"/>
          <w:b/>
          <w:bCs/>
          <w:color w:val="auto"/>
          <w:lang w:eastAsia="zh-CN"/>
        </w:rPr>
        <w:t>“十五五”时期</w:t>
      </w:r>
      <w:r>
        <w:rPr>
          <w:rFonts w:hint="default" w:ascii="Times New Roman" w:hAnsi="Times New Roman" w:cs="Times New Roman"/>
          <w:color w:val="auto"/>
          <w:lang w:eastAsia="zh-CN"/>
        </w:rPr>
        <w:t>积极引导农业生产经营主体充分利用机械，提高生产效率。</w:t>
      </w:r>
      <w:r>
        <w:rPr>
          <w:rFonts w:hint="default" w:ascii="Times New Roman" w:hAnsi="Times New Roman" w:cs="Times New Roman"/>
          <w:color w:val="auto"/>
          <w:lang w:val="en-US" w:eastAsia="zh-CN"/>
        </w:rPr>
        <w:t>实施农机装备报废更新项目，</w:t>
      </w:r>
      <w:r>
        <w:rPr>
          <w:rFonts w:hint="default" w:ascii="Times New Roman" w:hAnsi="Times New Roman" w:cs="Times New Roman"/>
          <w:color w:val="auto"/>
        </w:rPr>
        <w:t>持续开展农机具报废更新，确保稻麦机收损失率低于标准，推进稻麦秸秆机械化还田。统筹推进农机与农业项目建设，以特色农机示范基地和薄弱环节装备投入为主，实施农机装备补短板行动。加强技术指导，推动生态型</w:t>
      </w:r>
      <w:r>
        <w:rPr>
          <w:rFonts w:hint="default" w:ascii="Times New Roman" w:hAnsi="Times New Roman" w:cs="Times New Roman"/>
          <w:color w:val="auto"/>
          <w:lang w:eastAsia="zh-CN"/>
        </w:rPr>
        <w:t>犁耕</w:t>
      </w:r>
      <w:r>
        <w:rPr>
          <w:rFonts w:hint="default" w:ascii="Times New Roman" w:hAnsi="Times New Roman" w:cs="Times New Roman"/>
          <w:color w:val="auto"/>
        </w:rPr>
        <w:t>深翻技术，提升犁耕深翻作业面积占比。促进农机农艺融合，积极推广关键环节的智能化、绿色化农机，提高农业机械的智能化和绿色化水平，2030年</w:t>
      </w:r>
      <w:r>
        <w:rPr>
          <w:rFonts w:hint="default" w:ascii="Times New Roman" w:hAnsi="Times New Roman" w:cs="Times New Roman"/>
          <w:color w:val="auto"/>
          <w:lang w:eastAsia="zh-CN"/>
        </w:rPr>
        <w:t>农作物耕种收综合机械化率达</w:t>
      </w:r>
      <w:r>
        <w:rPr>
          <w:rFonts w:hint="default" w:ascii="Times New Roman" w:hAnsi="Times New Roman" w:cs="Times New Roman"/>
          <w:color w:val="auto"/>
        </w:rPr>
        <w:t>93%</w:t>
      </w:r>
      <w:r>
        <w:rPr>
          <w:rFonts w:hint="default" w:ascii="Times New Roman" w:hAnsi="Times New Roman" w:cs="Times New Roman"/>
          <w:color w:val="auto"/>
          <w:lang w:eastAsia="zh-CN"/>
        </w:rPr>
        <w:t>以上</w:t>
      </w:r>
      <w:r>
        <w:rPr>
          <w:rFonts w:hint="default" w:ascii="Times New Roman" w:hAnsi="Times New Roman" w:cs="Times New Roman"/>
          <w:color w:val="auto"/>
        </w:rPr>
        <w:t>。</w:t>
      </w:r>
    </w:p>
    <w:p w14:paraId="3A43869F">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lang w:eastAsia="zh-CN"/>
        </w:rPr>
        <w:t>推进特色产业全程机械化。</w:t>
      </w:r>
      <w:r>
        <w:rPr>
          <w:rFonts w:hint="default" w:ascii="Times New Roman" w:hAnsi="Times New Roman" w:cs="Times New Roman"/>
          <w:color w:val="auto"/>
        </w:rPr>
        <w:t>全面做好江苏省现代农机装备与技术推广应用项目，推进青毛豆、青玉米的种植农艺与收获机械化技术的集成，开展青花生、青毛豆等特经作物播种、收获关键环节的农机化试验示范，引进、试验、推广一批先进适用的高端智能农机装备。分类推进蔬菜机械化生产，有序推进各环节的全程机械化。推进粪污收集和资源化利用的机械化，渔业养殖的水资源循环利用和尾水处理的机械化，</w:t>
      </w:r>
      <w:r>
        <w:rPr>
          <w:rFonts w:hint="default" w:ascii="Times New Roman" w:hAnsi="Times New Roman" w:cs="Times New Roman"/>
          <w:color w:val="auto"/>
          <w:lang w:eastAsia="zh-CN"/>
        </w:rPr>
        <w:t>蔬菜和水果</w:t>
      </w:r>
      <w:r>
        <w:rPr>
          <w:rFonts w:hint="default" w:ascii="Times New Roman" w:hAnsi="Times New Roman" w:cs="Times New Roman"/>
          <w:color w:val="auto"/>
        </w:rPr>
        <w:t>清洗、加工、包装和保鲜等初加工的机械化。引导现有粮食烘干中心开展清洁热源替代和绿色节能烘干装备的技术更新，推动烘干设施设备绿色化转型升级，巩固提升粮食产地烘干能力，“十五五”期间智能化</w:t>
      </w:r>
      <w:r>
        <w:rPr>
          <w:rFonts w:hint="default" w:ascii="Times New Roman" w:hAnsi="Times New Roman" w:cs="Times New Roman"/>
          <w:color w:val="auto"/>
          <w:lang w:eastAsia="zh-CN"/>
        </w:rPr>
        <w:t>清洁能源烘干机占比</w:t>
      </w:r>
      <w:r>
        <w:rPr>
          <w:rFonts w:hint="default" w:ascii="Times New Roman" w:hAnsi="Times New Roman" w:cs="Times New Roman"/>
          <w:color w:val="auto"/>
          <w:lang w:val="en-US" w:eastAsia="zh-CN"/>
        </w:rPr>
        <w:t>超</w:t>
      </w:r>
      <w:r>
        <w:rPr>
          <w:rFonts w:hint="default" w:ascii="Times New Roman" w:hAnsi="Times New Roman" w:cs="Times New Roman"/>
          <w:color w:val="auto"/>
          <w:lang w:eastAsia="zh-CN"/>
        </w:rPr>
        <w:t>86%。</w:t>
      </w:r>
    </w:p>
    <w:p w14:paraId="1D33A236">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lang w:eastAsia="zh-CN"/>
        </w:rPr>
        <w:t>加快农业机械智能化应用。</w:t>
      </w:r>
      <w:r>
        <w:rPr>
          <w:rFonts w:hint="default" w:ascii="Times New Roman" w:hAnsi="Times New Roman" w:cs="Times New Roman"/>
          <w:color w:val="auto"/>
        </w:rPr>
        <w:t>加快信息技术在农业机械装备和农业机械作业中的应用，支持发展低空技术运用场景，示范推广智能绿色农业机械装备，持续建设“无人化农场”及智能绿色农业机械标准园，提高智能绿色农业机械科技示范能力，推进采摘机器人场景应用示范，探索适宜的全程智能机械化作业，至2030年智能驾驶农机装备、农用无人驾驶航空器等高端农机装备保有量达到300台（套）以上。推广应用智能化屠宰设备、自动化分割线、精准温控冷链系统。大力推广农机数字化管理应用平台，实现农机装备、烘干中心、智能灌溉等数据资源信息化管理。</w:t>
      </w:r>
      <w:bookmarkStart w:id="115" w:name="_Toc2067384191"/>
    </w:p>
    <w:p w14:paraId="41E2EBC9">
      <w:pPr>
        <w:pStyle w:val="4"/>
        <w:pageBreakBefore w:val="0"/>
        <w:wordWrap/>
        <w:overflowPunct/>
        <w:topLinePunct w:val="0"/>
        <w:bidi w:val="0"/>
        <w:ind w:left="0" w:leftChars="0"/>
        <w:rPr>
          <w:rFonts w:hint="default" w:ascii="Times New Roman" w:hAnsi="Times New Roman" w:cs="Times New Roman"/>
          <w:color w:val="auto"/>
        </w:rPr>
      </w:pPr>
      <w:bookmarkStart w:id="116" w:name="_Toc381315504"/>
      <w:bookmarkStart w:id="117" w:name="_Toc10493"/>
      <w:r>
        <w:rPr>
          <w:rFonts w:hint="default" w:ascii="Times New Roman" w:hAnsi="Times New Roman" w:cs="Times New Roman"/>
          <w:color w:val="auto"/>
        </w:rPr>
        <w:t>（四）推广绿色</w:t>
      </w:r>
      <w:r>
        <w:rPr>
          <w:rFonts w:hint="default" w:ascii="Times New Roman" w:hAnsi="Times New Roman" w:cs="Times New Roman"/>
          <w:color w:val="auto"/>
          <w:lang w:eastAsia="zh-CN"/>
        </w:rPr>
        <w:t>种养</w:t>
      </w:r>
      <w:bookmarkEnd w:id="116"/>
      <w:r>
        <w:rPr>
          <w:rFonts w:hint="default" w:ascii="Times New Roman" w:hAnsi="Times New Roman" w:cs="Times New Roman"/>
          <w:color w:val="auto"/>
          <w:lang w:eastAsia="zh-CN"/>
        </w:rPr>
        <w:t>模式</w:t>
      </w:r>
      <w:bookmarkEnd w:id="117"/>
    </w:p>
    <w:p w14:paraId="5833BE29">
      <w:pPr>
        <w:pageBreakBefore w:val="0"/>
        <w:wordWrap/>
        <w:overflowPunct/>
        <w:topLinePunct w:val="0"/>
        <w:bidi w:val="0"/>
        <w:ind w:left="0" w:leftChars="0"/>
        <w:rPr>
          <w:rFonts w:hint="default" w:ascii="Times New Roman" w:hAnsi="Times New Roman" w:cs="Times New Roman"/>
          <w:b/>
          <w:bCs/>
          <w:color w:val="auto"/>
          <w:lang w:val="en-US" w:eastAsia="zh-CN"/>
        </w:rPr>
      </w:pPr>
      <w:bookmarkStart w:id="118" w:name="_Toc2089765196"/>
      <w:r>
        <w:rPr>
          <w:rFonts w:hint="default" w:ascii="Times New Roman" w:hAnsi="Times New Roman" w:cs="Times New Roman"/>
          <w:b/>
          <w:bCs/>
          <w:color w:val="auto"/>
          <w:lang w:eastAsia="zh-CN"/>
        </w:rPr>
        <w:t>发展设施果蔬种植，提升智能供给水平。</w:t>
      </w:r>
      <w:r>
        <w:rPr>
          <w:rFonts w:hint="default" w:ascii="Times New Roman" w:hAnsi="Times New Roman" w:cs="Times New Roman"/>
          <w:color w:val="auto"/>
        </w:rPr>
        <w:t>深化全国现代设施农业创新引领区成果，提升设施农业发展水平。</w:t>
      </w:r>
      <w:r>
        <w:rPr>
          <w:rFonts w:hint="default" w:ascii="Times New Roman" w:hAnsi="Times New Roman" w:cs="Times New Roman"/>
          <w:color w:val="auto"/>
          <w:lang w:val="en-US" w:eastAsia="zh-CN"/>
        </w:rPr>
        <w:t>全力发展设施蔬菜和水果，重点推广单体钢架大棚、连栋大棚、防虫网，适度发展露地、避雨、小拱棚等设施；充分利用好大棚设施，实现蔬菜“春提早、夏满足、秋延后、冬补充”，保障“菜篮子”稳定供给。加大新型材料推广应用和老旧设施大棚改造提升，推进生产管理智慧化、栽培技术轻简化，进一步做强做优设施草莓、设施西甜瓜、精品蔬菜、地方特色蔬菜、设施果菜、周年叶菜等产业集群。到2030年设施蔬菜面积达到12.5万亩，提升设施农业智能化管理水平。</w:t>
      </w:r>
    </w:p>
    <w:p w14:paraId="09C8F72D">
      <w:pPr>
        <w:pageBreakBefore w:val="0"/>
        <w:wordWrap/>
        <w:overflowPunct/>
        <w:topLinePunct w:val="0"/>
        <w:bidi w:val="0"/>
        <w:rPr>
          <w:rFonts w:hint="default" w:ascii="Times New Roman" w:hAnsi="Times New Roman" w:cs="Times New Roman"/>
          <w:color w:val="auto"/>
          <w:lang w:eastAsia="zh-CN"/>
        </w:rPr>
      </w:pPr>
      <w:r>
        <w:rPr>
          <w:rFonts w:hint="default" w:ascii="Times New Roman" w:hAnsi="Times New Roman" w:cs="Times New Roman"/>
          <w:b/>
          <w:bCs/>
          <w:color w:val="auto"/>
          <w:lang w:eastAsia="zh-CN"/>
        </w:rPr>
        <w:t>推广绿色低碳生产，增强农业固碳能力。</w:t>
      </w:r>
      <w:r>
        <w:rPr>
          <w:rFonts w:hint="default" w:ascii="Times New Roman" w:hAnsi="Times New Roman" w:cs="Times New Roman"/>
          <w:color w:val="auto"/>
          <w:lang w:val="en-US" w:eastAsia="zh-CN"/>
        </w:rPr>
        <w:t>深入践行“绿水青山就是金山银山”理念，将绿色低碳导向贯穿农业发展始终。严格落实《江苏</w:t>
      </w:r>
      <w:r>
        <w:rPr>
          <w:rFonts w:hint="eastAsia" w:ascii="Times New Roman" w:hAnsi="Times New Roman" w:cs="Times New Roman"/>
          <w:color w:val="auto"/>
          <w:lang w:val="en-US" w:eastAsia="zh-CN"/>
        </w:rPr>
        <w:t>省</w:t>
      </w:r>
      <w:r>
        <w:rPr>
          <w:rFonts w:hint="default" w:ascii="Times New Roman" w:hAnsi="Times New Roman" w:cs="Times New Roman"/>
          <w:color w:val="auto"/>
          <w:lang w:val="en-US" w:eastAsia="zh-CN"/>
        </w:rPr>
        <w:t>国土绿化规划纲要（2023—2030年）》，“十五五”期间持续深化国土绿化行动，有效提升固碳增汇水平，到2030年森林绿化率保持在25%左右。同步推进绿色种养循环，扩大有机肥替代化肥，集成应用水肥一体化等高效施肥技术，力争到2030年主要粮食作物化肥利用率达43%左右。深化农牧结合，推广“畜禽—肥料—作物”等低碳循环模式，促进农业可持续发展。</w:t>
      </w:r>
      <w:r>
        <w:rPr>
          <w:rFonts w:hint="default" w:ascii="Times New Roman" w:hAnsi="Times New Roman" w:cs="Times New Roman"/>
          <w:color w:val="auto"/>
          <w:lang w:eastAsia="zh-CN"/>
        </w:rPr>
        <w:t>加强秸秆综合利用，持续推进机械化还田与犁耕深翻，提升耕地质量。完善农药包装废弃物与废旧农膜回收体系，至2030年废旧农膜回收率超过95%，全面构建与资源环境相协调的农业发展新格局。</w:t>
      </w:r>
    </w:p>
    <w:p w14:paraId="287FF482">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rPr>
        <w:t>建设绿色环保</w:t>
      </w:r>
      <w:r>
        <w:rPr>
          <w:rFonts w:hint="default" w:ascii="Times New Roman" w:hAnsi="Times New Roman" w:cs="Times New Roman"/>
          <w:b/>
          <w:bCs/>
          <w:color w:val="auto"/>
          <w:lang w:eastAsia="zh-CN"/>
        </w:rPr>
        <w:t>养殖场</w:t>
      </w:r>
      <w:r>
        <w:rPr>
          <w:rFonts w:hint="default" w:ascii="Times New Roman" w:hAnsi="Times New Roman" w:cs="Times New Roman"/>
          <w:b/>
          <w:bCs/>
          <w:color w:val="auto"/>
        </w:rPr>
        <w:t>，促进粪污资源利用</w:t>
      </w:r>
      <w:r>
        <w:rPr>
          <w:rFonts w:hint="default" w:ascii="Times New Roman" w:hAnsi="Times New Roman" w:cs="Times New Roman"/>
          <w:b/>
          <w:bCs/>
          <w:color w:val="auto"/>
          <w:lang w:eastAsia="zh-CN"/>
        </w:rPr>
        <w:t>。</w:t>
      </w:r>
      <w:r>
        <w:rPr>
          <w:rFonts w:hint="default" w:ascii="Times New Roman" w:hAnsi="Times New Roman" w:cs="Times New Roman"/>
          <w:color w:val="auto"/>
          <w:lang w:val="en-US" w:eastAsia="zh-CN"/>
        </w:rPr>
        <w:t>实施畜禽养殖改造项目，</w:t>
      </w:r>
      <w:r>
        <w:rPr>
          <w:rFonts w:hint="default" w:ascii="Times New Roman" w:hAnsi="Times New Roman" w:cs="Times New Roman"/>
          <w:color w:val="auto"/>
        </w:rPr>
        <w:t>建设标准化、绿色环保养殖场，推广楼房养殖、大棚养殖等节地模式，改造升级以舍饲为主的标准化圈舍，配套自动饲喂、通风保温等设施，破解土地资源约束，加快推广高效技术，实现畜禽高效产出。在</w:t>
      </w:r>
      <w:r>
        <w:rPr>
          <w:rFonts w:hint="default" w:ascii="Times New Roman" w:hAnsi="Times New Roman" w:cs="Times New Roman"/>
          <w:color w:val="auto"/>
          <w:lang w:val="en-US" w:eastAsia="zh-CN"/>
        </w:rPr>
        <w:t>海门高新区</w:t>
      </w:r>
      <w:r>
        <w:rPr>
          <w:rFonts w:hint="default" w:ascii="Times New Roman" w:hAnsi="Times New Roman" w:cs="Times New Roman"/>
          <w:color w:val="auto"/>
        </w:rPr>
        <w:t>、四甲</w:t>
      </w:r>
      <w:r>
        <w:rPr>
          <w:rFonts w:hint="default" w:ascii="Times New Roman" w:hAnsi="Times New Roman" w:cs="Times New Roman"/>
          <w:color w:val="auto"/>
          <w:lang w:val="en-US" w:eastAsia="zh-CN"/>
        </w:rPr>
        <w:t>镇</w:t>
      </w:r>
      <w:r>
        <w:rPr>
          <w:rFonts w:hint="default" w:ascii="Times New Roman" w:hAnsi="Times New Roman" w:cs="Times New Roman"/>
          <w:color w:val="auto"/>
        </w:rPr>
        <w:t>、悦来</w:t>
      </w:r>
      <w:r>
        <w:rPr>
          <w:rFonts w:hint="default" w:ascii="Times New Roman" w:hAnsi="Times New Roman" w:cs="Times New Roman"/>
          <w:color w:val="auto"/>
          <w:lang w:val="en-US" w:eastAsia="zh-CN"/>
        </w:rPr>
        <w:t>镇</w:t>
      </w:r>
      <w:r>
        <w:rPr>
          <w:rFonts w:hint="default" w:ascii="Times New Roman" w:hAnsi="Times New Roman" w:cs="Times New Roman"/>
          <w:color w:val="auto"/>
        </w:rPr>
        <w:t>、常乐</w:t>
      </w:r>
      <w:r>
        <w:rPr>
          <w:rFonts w:hint="default" w:ascii="Times New Roman" w:hAnsi="Times New Roman" w:cs="Times New Roman"/>
          <w:color w:val="auto"/>
          <w:lang w:val="en-US" w:eastAsia="zh-CN"/>
        </w:rPr>
        <w:t>镇</w:t>
      </w:r>
      <w:r>
        <w:rPr>
          <w:rFonts w:hint="default" w:ascii="Times New Roman" w:hAnsi="Times New Roman" w:cs="Times New Roman"/>
          <w:color w:val="auto"/>
        </w:rPr>
        <w:t>等区镇以秸秆、毛豆壳、青玉米等为重点，挖掘山羊饲料来源；配套建设沼液沼渣利用设施，加大养殖环境、生产管理和污染治理设施改造力度，巩固提升畜禽粪污资源化利用成果，2030年畜禽粪污综合利用率</w:t>
      </w:r>
      <w:r>
        <w:rPr>
          <w:rFonts w:hint="default" w:ascii="Times New Roman" w:hAnsi="Times New Roman" w:cs="Times New Roman"/>
          <w:color w:val="auto"/>
          <w:lang w:val="en-US" w:eastAsia="zh-CN"/>
        </w:rPr>
        <w:t>稳定在</w:t>
      </w:r>
      <w:r>
        <w:rPr>
          <w:rFonts w:hint="default" w:ascii="Times New Roman" w:hAnsi="Times New Roman" w:cs="Times New Roman"/>
          <w:color w:val="auto"/>
        </w:rPr>
        <w:t>96%</w:t>
      </w:r>
      <w:r>
        <w:rPr>
          <w:rFonts w:hint="default" w:ascii="Times New Roman" w:hAnsi="Times New Roman" w:cs="Times New Roman"/>
          <w:color w:val="auto"/>
          <w:lang w:val="en-US" w:eastAsia="zh-CN"/>
        </w:rPr>
        <w:t>以上</w:t>
      </w:r>
      <w:r>
        <w:rPr>
          <w:rFonts w:hint="default" w:ascii="Times New Roman" w:hAnsi="Times New Roman" w:cs="Times New Roman"/>
          <w:color w:val="auto"/>
        </w:rPr>
        <w:t>。</w:t>
      </w:r>
    </w:p>
    <w:p w14:paraId="0657F2E3">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rPr>
        <w:t>升级现代设施渔业，保护长江水域生态</w:t>
      </w:r>
      <w:r>
        <w:rPr>
          <w:rFonts w:hint="default" w:ascii="Times New Roman" w:hAnsi="Times New Roman" w:cs="Times New Roman"/>
          <w:b/>
          <w:bCs/>
          <w:color w:val="auto"/>
          <w:lang w:eastAsia="zh-CN"/>
        </w:rPr>
        <w:t>。</w:t>
      </w:r>
      <w:r>
        <w:rPr>
          <w:rFonts w:hint="default" w:ascii="Times New Roman" w:hAnsi="Times New Roman" w:cs="Times New Roman"/>
          <w:color w:val="auto"/>
        </w:rPr>
        <w:t>大力推进池塘标准化改造、发展工厂化循环水养殖，推动设施渔业向生态化、集约化、智能化、产业化方向发展，保障水产品稳定安全供给。已经完成池塘养殖尾水整治的规模养殖主体，跟踪服务原位净化和异位修复等尾水处理技术，保障相关设施设备正常运行并真正能够发挥作用，促进已改造池塘尾水达标排放或实现循环利用。开展长江江豚保护行动，巩固长江禁渔成效。</w:t>
      </w:r>
    </w:p>
    <w:bookmarkEnd w:id="115"/>
    <w:bookmarkEnd w:id="118"/>
    <w:p w14:paraId="3EA95FB1">
      <w:pPr>
        <w:pStyle w:val="4"/>
        <w:pageBreakBefore w:val="0"/>
        <w:wordWrap/>
        <w:overflowPunct/>
        <w:topLinePunct w:val="0"/>
        <w:bidi w:val="0"/>
        <w:ind w:left="0" w:leftChars="0"/>
        <w:rPr>
          <w:rFonts w:hint="default" w:ascii="Times New Roman" w:hAnsi="Times New Roman" w:eastAsia="楷体_GB2312" w:cs="Times New Roman"/>
          <w:color w:val="auto"/>
          <w:lang w:eastAsia="zh-CN"/>
        </w:rPr>
      </w:pPr>
      <w:bookmarkStart w:id="119" w:name="_Toc6627"/>
      <w:bookmarkStart w:id="120" w:name="_Toc678473080"/>
      <w:r>
        <w:rPr>
          <w:rFonts w:hint="default" w:ascii="Times New Roman" w:hAnsi="Times New Roman" w:cs="Times New Roman"/>
          <w:color w:val="auto"/>
        </w:rPr>
        <w:t>（</w:t>
      </w:r>
      <w:r>
        <w:rPr>
          <w:rFonts w:hint="default" w:ascii="Times New Roman" w:hAnsi="Times New Roman" w:cs="Times New Roman"/>
          <w:color w:val="auto"/>
          <w:lang w:val="en-US" w:eastAsia="zh-CN"/>
        </w:rPr>
        <w:t>五</w:t>
      </w:r>
      <w:r>
        <w:rPr>
          <w:rFonts w:hint="default" w:ascii="Times New Roman" w:hAnsi="Times New Roman" w:cs="Times New Roman"/>
          <w:color w:val="auto"/>
        </w:rPr>
        <w:t>）</w:t>
      </w:r>
      <w:r>
        <w:rPr>
          <w:rFonts w:hint="default" w:ascii="Times New Roman" w:hAnsi="Times New Roman" w:cs="Times New Roman"/>
          <w:color w:val="auto"/>
          <w:lang w:eastAsia="zh-CN"/>
        </w:rPr>
        <w:t>加快建设智慧</w:t>
      </w:r>
      <w:r>
        <w:rPr>
          <w:rFonts w:hint="default" w:ascii="Times New Roman" w:hAnsi="Times New Roman" w:cs="Times New Roman"/>
          <w:color w:val="auto"/>
          <w:lang w:val="en-US" w:eastAsia="zh-CN"/>
        </w:rPr>
        <w:t>农业</w:t>
      </w:r>
      <w:bookmarkEnd w:id="119"/>
      <w:bookmarkEnd w:id="120"/>
    </w:p>
    <w:p w14:paraId="35165382">
      <w:pPr>
        <w:pageBreakBefore w:val="0"/>
        <w:wordWrap/>
        <w:overflowPunct/>
        <w:topLinePunct w:val="0"/>
        <w:bidi w:val="0"/>
        <w:ind w:left="0" w:leftChars="0"/>
        <w:rPr>
          <w:rFonts w:hint="default" w:ascii="Times New Roman" w:hAnsi="Times New Roman" w:cs="Times New Roman"/>
          <w:color w:val="auto"/>
        </w:rPr>
      </w:pPr>
      <w:bookmarkStart w:id="121" w:name="_Toc1791930914"/>
      <w:r>
        <w:rPr>
          <w:rFonts w:hint="default" w:ascii="Times New Roman" w:hAnsi="Times New Roman" w:cs="Times New Roman"/>
          <w:b/>
          <w:bCs/>
          <w:color w:val="auto"/>
        </w:rPr>
        <w:t>数字化监测农情</w:t>
      </w:r>
      <w:bookmarkEnd w:id="121"/>
      <w:r>
        <w:rPr>
          <w:rFonts w:hint="default" w:ascii="Times New Roman" w:hAnsi="Times New Roman" w:cs="Times New Roman"/>
          <w:b/>
          <w:bCs/>
          <w:color w:val="auto"/>
          <w:lang w:eastAsia="zh-CN"/>
        </w:rPr>
        <w:t>。</w:t>
      </w:r>
      <w:r>
        <w:rPr>
          <w:rFonts w:hint="default" w:ascii="Times New Roman" w:hAnsi="Times New Roman" w:cs="Times New Roman"/>
          <w:color w:val="auto"/>
          <w:lang w:eastAsia="zh-CN"/>
        </w:rPr>
        <w:t>积极稳妥</w:t>
      </w:r>
      <w:r>
        <w:rPr>
          <w:rFonts w:hint="default" w:ascii="Times New Roman" w:hAnsi="Times New Roman" w:cs="Times New Roman"/>
          <w:color w:val="auto"/>
          <w:lang w:val="en-US" w:eastAsia="zh-CN"/>
        </w:rPr>
        <w:t>持续</w:t>
      </w:r>
      <w:r>
        <w:rPr>
          <w:rFonts w:hint="default" w:ascii="Times New Roman" w:hAnsi="Times New Roman" w:cs="Times New Roman"/>
          <w:color w:val="auto"/>
          <w:lang w:eastAsia="zh-CN"/>
        </w:rPr>
        <w:t>推进“四情”监测点</w:t>
      </w:r>
      <w:r>
        <w:rPr>
          <w:rFonts w:hint="default" w:ascii="Times New Roman" w:hAnsi="Times New Roman" w:cs="Times New Roman"/>
          <w:color w:val="auto"/>
          <w:lang w:val="en-US" w:eastAsia="zh-CN"/>
        </w:rPr>
        <w:t>建设，</w:t>
      </w:r>
      <w:r>
        <w:rPr>
          <w:rFonts w:hint="default" w:ascii="Times New Roman" w:hAnsi="Times New Roman" w:cs="Times New Roman"/>
          <w:color w:val="auto"/>
          <w:lang w:eastAsia="zh-CN"/>
        </w:rPr>
        <w:t>构建一体化、数字化综合调度网络，开展苗情、病虫情、墒情、灾情等“四情”监测及农机设备管理、作业监测，提高监测预警、综合服务、远程会商调度能力，推动智慧农业高质量发展。</w:t>
      </w:r>
      <w:r>
        <w:rPr>
          <w:rFonts w:hint="default" w:ascii="Times New Roman" w:hAnsi="Times New Roman" w:cs="Times New Roman"/>
          <w:color w:val="auto"/>
        </w:rPr>
        <w:t>支持规模化连栋大棚和玻璃温室智能化改造场景应用设备，充分利用现有玻璃温室、连栋大棚物联网</w:t>
      </w:r>
      <w:r>
        <w:rPr>
          <w:rFonts w:hint="default" w:ascii="Times New Roman" w:hAnsi="Times New Roman" w:cs="Times New Roman"/>
          <w:color w:val="auto"/>
          <w:lang w:eastAsia="zh-CN"/>
        </w:rPr>
        <w:t>、智慧牧（渔）场</w:t>
      </w:r>
      <w:r>
        <w:rPr>
          <w:rFonts w:hint="default" w:ascii="Times New Roman" w:hAnsi="Times New Roman" w:cs="Times New Roman"/>
          <w:color w:val="auto"/>
        </w:rPr>
        <w:t>等智能设备</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强化</w:t>
      </w:r>
      <w:r>
        <w:rPr>
          <w:rFonts w:hint="default" w:ascii="Times New Roman" w:hAnsi="Times New Roman" w:cs="Times New Roman"/>
          <w:color w:val="auto"/>
        </w:rPr>
        <w:t>作物生长监测、水肥综合管理、病虫害测报、疫病诊断防控、饲料精准投喂等环节，并与省苏农云平台对接，扩大农情数据量，提高监测结果的准确度。加强数据的汇总与分析，为高产稳产提供尽可能准确的种植养殖环境信息，减轻自然灾害的损失，提高生产效率和产品质量。</w:t>
      </w:r>
    </w:p>
    <w:p w14:paraId="4EF89CE2">
      <w:pPr>
        <w:pageBreakBefore w:val="0"/>
        <w:wordWrap/>
        <w:overflowPunct/>
        <w:topLinePunct w:val="0"/>
        <w:bidi w:val="0"/>
        <w:ind w:left="0" w:leftChars="0"/>
        <w:rPr>
          <w:rFonts w:hint="default" w:ascii="Times New Roman" w:hAnsi="Times New Roman" w:cs="Times New Roman"/>
          <w:color w:val="auto"/>
        </w:rPr>
      </w:pPr>
      <w:bookmarkStart w:id="122" w:name="_Toc672206070"/>
      <w:r>
        <w:rPr>
          <w:rFonts w:hint="default" w:ascii="Times New Roman" w:hAnsi="Times New Roman" w:cs="Times New Roman"/>
          <w:b/>
          <w:bCs/>
          <w:color w:val="auto"/>
          <w:lang w:val="en-US" w:eastAsia="zh-CN"/>
        </w:rPr>
        <w:t>建设</w:t>
      </w:r>
      <w:r>
        <w:rPr>
          <w:rFonts w:hint="default" w:ascii="Times New Roman" w:hAnsi="Times New Roman" w:cs="Times New Roman"/>
          <w:b/>
          <w:bCs/>
          <w:color w:val="auto"/>
        </w:rPr>
        <w:t>智慧化园区和农牧渔场</w:t>
      </w:r>
      <w:bookmarkEnd w:id="122"/>
      <w:r>
        <w:rPr>
          <w:rFonts w:hint="default" w:ascii="Times New Roman" w:hAnsi="Times New Roman" w:cs="Times New Roman"/>
          <w:b/>
          <w:bCs/>
          <w:color w:val="auto"/>
          <w:lang w:eastAsia="zh-CN"/>
        </w:rPr>
        <w:t>。</w:t>
      </w:r>
      <w:r>
        <w:rPr>
          <w:rFonts w:hint="default" w:ascii="Times New Roman" w:hAnsi="Times New Roman" w:cs="Times New Roman"/>
          <w:color w:val="auto"/>
        </w:rPr>
        <w:t>“十五五”期间扩展农村综合改革试点的成果，推进农业“数转智改”</w:t>
      </w:r>
      <w:r>
        <w:rPr>
          <w:rFonts w:hint="default" w:ascii="Times New Roman" w:hAnsi="Times New Roman" w:cs="Times New Roman"/>
          <w:color w:val="auto"/>
          <w:lang w:eastAsia="zh-CN"/>
        </w:rPr>
        <w:t>，</w:t>
      </w:r>
      <w:r>
        <w:rPr>
          <w:rFonts w:hint="default" w:ascii="Times New Roman" w:hAnsi="Times New Roman" w:cs="Times New Roman"/>
          <w:color w:val="auto"/>
        </w:rPr>
        <w:t>升级现代农业园区，</w:t>
      </w:r>
      <w:r>
        <w:rPr>
          <w:rFonts w:hint="default" w:ascii="Times New Roman" w:hAnsi="Times New Roman" w:cs="Times New Roman"/>
          <w:color w:val="auto"/>
          <w:lang w:val="en-US" w:eastAsia="zh-CN"/>
        </w:rPr>
        <w:t>实施“畜牧业智慧化建设政策”项目，</w:t>
      </w:r>
      <w:r>
        <w:rPr>
          <w:rFonts w:hint="default" w:ascii="Times New Roman" w:hAnsi="Times New Roman" w:cs="Times New Roman"/>
          <w:color w:val="auto"/>
        </w:rPr>
        <w:t>力争建成一批“智慧农场”“智慧牧场”和“智慧渔场”。因地制宜提高农业生产精细化、自动化、无人化管理水平。实施标准化、智慧化设施棚室改造，重点改造一批主导产业突出、数字装备先进、生产方式绿色、辐射带动有力的智能化农业园区。推进粮食生产“无人化农场”建设，广泛应用环境测控、精确施肥、智能灌溉、航空植保等技术。加大对老旧设施改造，更新智能温室、连栋大棚等设施，提高设施保温、采光、通风等性能，延长使用寿命；引进先进的</w:t>
      </w:r>
      <w:r>
        <w:rPr>
          <w:rFonts w:hint="default" w:ascii="Times New Roman" w:hAnsi="Times New Roman" w:cs="Times New Roman"/>
          <w:color w:val="auto"/>
          <w:lang w:eastAsia="zh-CN"/>
        </w:rPr>
        <w:t>蔬菜和水果</w:t>
      </w:r>
      <w:r>
        <w:rPr>
          <w:rFonts w:hint="default" w:ascii="Times New Roman" w:hAnsi="Times New Roman" w:cs="Times New Roman"/>
          <w:color w:val="auto"/>
        </w:rPr>
        <w:t>花卉种植、采摘、运输等机械设备，提高生产机械化、自动化水平，降低劳动强度和生产成本</w:t>
      </w:r>
      <w:r>
        <w:rPr>
          <w:rFonts w:hint="default" w:ascii="Times New Roman" w:hAnsi="Times New Roman" w:cs="Times New Roman"/>
          <w:color w:val="auto"/>
          <w:lang w:eastAsia="zh-CN"/>
        </w:rPr>
        <w:t>；</w:t>
      </w:r>
      <w:r>
        <w:rPr>
          <w:rFonts w:hint="default" w:ascii="Times New Roman" w:hAnsi="Times New Roman" w:cs="Times New Roman"/>
          <w:color w:val="auto"/>
        </w:rPr>
        <w:t>发展数字化牧场，加大机械化饲喂、信息化监测、智能化环控等技术应用力度，淘汰粗放养殖方式，发展高效智能养殖，以技术升级驱动产业提质增效。加强水体水质监测调控、自动投喂、尾水处理等技术装备在渔业上的应用，形成陆基循环等水产养殖新业态。</w:t>
      </w:r>
      <w:bookmarkStart w:id="123" w:name="_Toc1799196664"/>
    </w:p>
    <w:bookmarkEnd w:id="123"/>
    <w:p w14:paraId="6D2640DE">
      <w:pPr>
        <w:pStyle w:val="3"/>
        <w:pageBreakBefore w:val="0"/>
        <w:wordWrap/>
        <w:overflowPunct/>
        <w:topLinePunct w:val="0"/>
        <w:bidi w:val="0"/>
        <w:ind w:left="0" w:leftChars="0"/>
        <w:rPr>
          <w:rFonts w:hint="default" w:ascii="Times New Roman" w:hAnsi="Times New Roman" w:eastAsia="黑体" w:cs="Times New Roman"/>
          <w:color w:val="auto"/>
          <w:lang w:eastAsia="zh-CN"/>
        </w:rPr>
      </w:pPr>
      <w:bookmarkStart w:id="124" w:name="_Toc233350722"/>
      <w:bookmarkStart w:id="125" w:name="_Toc2106373637"/>
      <w:bookmarkStart w:id="126" w:name="_Toc11937"/>
      <w:r>
        <w:rPr>
          <w:rFonts w:hint="default" w:ascii="Times New Roman" w:hAnsi="Times New Roman" w:cs="Times New Roman"/>
          <w:color w:val="auto"/>
        </w:rPr>
        <w:t>四、培优</w:t>
      </w:r>
      <w:r>
        <w:rPr>
          <w:rFonts w:hint="default" w:ascii="Times New Roman" w:hAnsi="Times New Roman" w:cs="Times New Roman"/>
          <w:color w:val="auto"/>
          <w:lang w:eastAsia="zh-CN"/>
        </w:rPr>
        <w:t>新型</w:t>
      </w:r>
      <w:r>
        <w:rPr>
          <w:rFonts w:hint="default" w:ascii="Times New Roman" w:hAnsi="Times New Roman" w:cs="Times New Roman"/>
          <w:color w:val="auto"/>
        </w:rPr>
        <w:t>经营主体</w:t>
      </w:r>
      <w:bookmarkEnd w:id="124"/>
      <w:r>
        <w:rPr>
          <w:rFonts w:hint="default" w:ascii="Times New Roman" w:hAnsi="Times New Roman" w:cs="Times New Roman"/>
          <w:color w:val="auto"/>
        </w:rPr>
        <w:t xml:space="preserve"> </w:t>
      </w:r>
      <w:r>
        <w:rPr>
          <w:rFonts w:hint="default" w:ascii="Times New Roman" w:hAnsi="Times New Roman" w:cs="Times New Roman"/>
          <w:color w:val="auto"/>
          <w:lang w:eastAsia="zh-CN"/>
        </w:rPr>
        <w:t>激发乡村</w:t>
      </w:r>
      <w:r>
        <w:rPr>
          <w:rFonts w:hint="default" w:ascii="Times New Roman" w:hAnsi="Times New Roman" w:cs="Times New Roman"/>
          <w:color w:val="auto"/>
          <w:lang w:val="en-US" w:eastAsia="zh-CN"/>
        </w:rPr>
        <w:t>生产经营</w:t>
      </w:r>
      <w:r>
        <w:rPr>
          <w:rFonts w:hint="default" w:ascii="Times New Roman" w:hAnsi="Times New Roman" w:cs="Times New Roman"/>
          <w:color w:val="auto"/>
          <w:lang w:eastAsia="zh-CN"/>
        </w:rPr>
        <w:t>活力</w:t>
      </w:r>
      <w:bookmarkEnd w:id="125"/>
      <w:bookmarkEnd w:id="126"/>
    </w:p>
    <w:p w14:paraId="5D940452">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lang w:eastAsia="zh-CN"/>
        </w:rPr>
        <w:t>按照“发展一批、规范一批、提升一批”的思路，培育</w:t>
      </w:r>
      <w:r>
        <w:rPr>
          <w:rFonts w:hint="default" w:ascii="Times New Roman" w:hAnsi="Times New Roman" w:cs="Times New Roman"/>
          <w:color w:val="auto"/>
        </w:rPr>
        <w:t>现代</w:t>
      </w:r>
      <w:r>
        <w:rPr>
          <w:rFonts w:hint="default" w:ascii="Times New Roman" w:hAnsi="Times New Roman" w:cs="Times New Roman"/>
          <w:color w:val="auto"/>
          <w:lang w:eastAsia="zh-CN"/>
        </w:rPr>
        <w:t>农业</w:t>
      </w:r>
      <w:r>
        <w:rPr>
          <w:rFonts w:hint="default" w:ascii="Times New Roman" w:hAnsi="Times New Roman" w:cs="Times New Roman"/>
          <w:color w:val="auto"/>
        </w:rPr>
        <w:t>经营主体，构建集约化、专业化、组织化和社会化相结合的新型农业经营体系，</w:t>
      </w:r>
      <w:r>
        <w:rPr>
          <w:rFonts w:hint="default" w:ascii="Times New Roman" w:hAnsi="Times New Roman" w:cs="Times New Roman"/>
          <w:color w:val="auto"/>
          <w:lang w:val="en-US" w:eastAsia="zh-CN"/>
        </w:rPr>
        <w:t>构建利益联结机制，带动农业产业融合发展，促进小农与现代农业有机衔接并</w:t>
      </w:r>
      <w:r>
        <w:rPr>
          <w:rFonts w:hint="default" w:ascii="Times New Roman" w:hAnsi="Times New Roman" w:cs="Times New Roman"/>
          <w:color w:val="auto"/>
        </w:rPr>
        <w:t>带领小农共享农业现代化的发展成果。</w:t>
      </w:r>
    </w:p>
    <w:p w14:paraId="7A5CD50D">
      <w:pPr>
        <w:pStyle w:val="4"/>
        <w:pageBreakBefore w:val="0"/>
        <w:wordWrap/>
        <w:overflowPunct/>
        <w:topLinePunct w:val="0"/>
        <w:bidi w:val="0"/>
        <w:ind w:left="0" w:leftChars="0"/>
        <w:rPr>
          <w:rFonts w:hint="default" w:ascii="Times New Roman" w:hAnsi="Times New Roman" w:cs="Times New Roman"/>
          <w:color w:val="auto"/>
        </w:rPr>
      </w:pPr>
      <w:bookmarkStart w:id="127" w:name="_Toc553796264"/>
      <w:bookmarkStart w:id="128" w:name="_Toc620445232"/>
      <w:bookmarkStart w:id="129" w:name="_Toc29955"/>
      <w:r>
        <w:rPr>
          <w:rFonts w:hint="default" w:ascii="Times New Roman" w:hAnsi="Times New Roman" w:cs="Times New Roman"/>
          <w:color w:val="auto"/>
        </w:rPr>
        <w:t>（一）</w:t>
      </w:r>
      <w:bookmarkEnd w:id="127"/>
      <w:bookmarkEnd w:id="128"/>
      <w:r>
        <w:rPr>
          <w:rFonts w:hint="default" w:ascii="Times New Roman" w:hAnsi="Times New Roman" w:cs="Times New Roman"/>
          <w:color w:val="auto"/>
          <w:lang w:eastAsia="zh-CN"/>
        </w:rPr>
        <w:t>提升</w:t>
      </w:r>
      <w:r>
        <w:rPr>
          <w:rFonts w:hint="default" w:ascii="Times New Roman" w:hAnsi="Times New Roman" w:cs="Times New Roman"/>
          <w:color w:val="auto"/>
        </w:rPr>
        <w:t>农业龙头企业一体化经营能力</w:t>
      </w:r>
      <w:bookmarkEnd w:id="129"/>
    </w:p>
    <w:p w14:paraId="29181435">
      <w:pPr>
        <w:pageBreakBefore w:val="0"/>
        <w:wordWrap/>
        <w:overflowPunct/>
        <w:topLinePunct w:val="0"/>
        <w:bidi w:val="0"/>
        <w:ind w:left="0" w:leftChars="0"/>
        <w:rPr>
          <w:rFonts w:hint="default" w:ascii="Times New Roman" w:hAnsi="Times New Roman" w:cs="Times New Roman"/>
          <w:color w:val="auto"/>
        </w:rPr>
      </w:pPr>
      <w:bookmarkStart w:id="130" w:name="_Toc283475022"/>
      <w:r>
        <w:rPr>
          <w:rFonts w:hint="default" w:ascii="Times New Roman" w:hAnsi="Times New Roman" w:cs="Times New Roman"/>
          <w:b/>
          <w:bCs/>
          <w:color w:val="auto"/>
        </w:rPr>
        <w:t>支持农业龙头企业延长产业链</w:t>
      </w:r>
      <w:bookmarkEnd w:id="130"/>
      <w:r>
        <w:rPr>
          <w:rFonts w:hint="default" w:ascii="Times New Roman" w:hAnsi="Times New Roman" w:cs="Times New Roman"/>
          <w:b/>
          <w:bCs/>
          <w:color w:val="auto"/>
          <w:lang w:eastAsia="zh-CN"/>
        </w:rPr>
        <w:t>。</w:t>
      </w:r>
      <w:r>
        <w:rPr>
          <w:rFonts w:hint="default" w:ascii="Times New Roman" w:hAnsi="Times New Roman" w:cs="Times New Roman"/>
          <w:color w:val="auto"/>
        </w:rPr>
        <w:t>大力培育农业产业化龙头企业，扶</w:t>
      </w:r>
      <w:r>
        <w:rPr>
          <w:rFonts w:hint="default" w:ascii="Times New Roman" w:hAnsi="Times New Roman" w:cs="Times New Roman"/>
          <w:color w:val="auto"/>
          <w:lang w:eastAsia="zh-CN"/>
        </w:rPr>
        <w:t>持和</w:t>
      </w:r>
      <w:r>
        <w:rPr>
          <w:rFonts w:hint="default" w:ascii="Times New Roman" w:hAnsi="Times New Roman" w:cs="Times New Roman"/>
          <w:color w:val="auto"/>
        </w:rPr>
        <w:t>引导企业向产业的广度和深度发展，拉长产业链条，开发具有自主知识产权的农产品及其加工品，提高附加值；培育和壮大一批产业关联度大、竞争力强、辐射带动作用强的龙头企业，围绕农业产业化龙头企业的产业链条，努力引进上下游关联项目，发展关联产品，主动引进同类企业集聚发展，逐渐引导发展产业集群。</w:t>
      </w:r>
    </w:p>
    <w:p w14:paraId="701C77A7">
      <w:pPr>
        <w:pageBreakBefore w:val="0"/>
        <w:wordWrap/>
        <w:overflowPunct/>
        <w:topLinePunct w:val="0"/>
        <w:bidi w:val="0"/>
        <w:ind w:left="0" w:leftChars="0"/>
        <w:rPr>
          <w:rFonts w:hint="default" w:ascii="Times New Roman" w:hAnsi="Times New Roman" w:cs="Times New Roman"/>
          <w:color w:val="auto"/>
        </w:rPr>
      </w:pPr>
      <w:bookmarkStart w:id="131" w:name="_Toc1245965708"/>
      <w:r>
        <w:rPr>
          <w:rFonts w:hint="default" w:ascii="Times New Roman" w:hAnsi="Times New Roman" w:cs="Times New Roman"/>
          <w:b/>
          <w:bCs/>
          <w:color w:val="auto"/>
        </w:rPr>
        <w:t>提高龙头企业数字化能力</w:t>
      </w:r>
      <w:bookmarkEnd w:id="131"/>
      <w:r>
        <w:rPr>
          <w:rFonts w:hint="default" w:ascii="Times New Roman" w:hAnsi="Times New Roman" w:cs="Times New Roman"/>
          <w:b/>
          <w:bCs/>
          <w:color w:val="auto"/>
          <w:lang w:eastAsia="zh-CN"/>
        </w:rPr>
        <w:t>。</w:t>
      </w:r>
      <w:r>
        <w:rPr>
          <w:rFonts w:hint="default" w:ascii="Times New Roman" w:hAnsi="Times New Roman" w:cs="Times New Roman"/>
          <w:color w:val="auto"/>
        </w:rPr>
        <w:t>鼓励龙头企业应用数字技术，整合产业链上中下游的信息资源，打造生产性服务共享平台。引导有条件的龙头企业开展全链条数字化改造，提高全链条信息化智能化水平。支持企业健全智能化自动化生产加工、冷藏仓储、分拣配送体系，推动发展智能数字生产车间和先进包装技术。鼓励龙头企业应用区块链技术，加强产品溯源体系建设；采用大数据、云计算等技术，发展智慧农业。</w:t>
      </w:r>
    </w:p>
    <w:p w14:paraId="0B489C2E">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lang w:val="en-US" w:eastAsia="zh-CN"/>
        </w:rPr>
        <w:t>提升</w:t>
      </w:r>
      <w:r>
        <w:rPr>
          <w:rFonts w:hint="default" w:ascii="Times New Roman" w:hAnsi="Times New Roman" w:cs="Times New Roman"/>
          <w:b/>
          <w:bCs/>
          <w:color w:val="auto"/>
        </w:rPr>
        <w:t>农业龙头企业一体化经营能力</w:t>
      </w:r>
      <w:r>
        <w:rPr>
          <w:rFonts w:hint="default" w:ascii="Times New Roman" w:hAnsi="Times New Roman" w:cs="Times New Roman"/>
          <w:b/>
          <w:bCs/>
          <w:color w:val="auto"/>
          <w:lang w:eastAsia="zh-CN"/>
        </w:rPr>
        <w:t>。</w:t>
      </w:r>
      <w:r>
        <w:rPr>
          <w:rFonts w:hint="default" w:ascii="Times New Roman" w:hAnsi="Times New Roman" w:cs="Times New Roman"/>
          <w:color w:val="auto"/>
        </w:rPr>
        <w:t>鼓励龙头企业牵头组建农业产业化联合体，依托“公司+农民合作社+家庭农场”“公司+家庭农场+科研院校”等</w:t>
      </w:r>
      <w:r>
        <w:rPr>
          <w:rFonts w:hint="default" w:ascii="Times New Roman" w:hAnsi="Times New Roman" w:cs="Times New Roman"/>
          <w:color w:val="auto"/>
          <w:lang w:eastAsia="zh-CN"/>
        </w:rPr>
        <w:t>形式</w:t>
      </w:r>
      <w:r>
        <w:rPr>
          <w:rFonts w:hint="default" w:ascii="Times New Roman" w:hAnsi="Times New Roman" w:cs="Times New Roman"/>
          <w:color w:val="auto"/>
        </w:rPr>
        <w:t>，在合理分工基础上开展一体化经营，发挥各类经营主体的独特优势；支持以龙头企业为引领，以行业协会为补充，以科研院校为依托，有效配置各类资源要素，实施一体化经营，发展壮大农业龙头企业。到2030年南通市级以上农业龙头企业</w:t>
      </w:r>
      <w:r>
        <w:rPr>
          <w:rFonts w:hint="default" w:ascii="Times New Roman" w:hAnsi="Times New Roman" w:cs="Times New Roman"/>
          <w:color w:val="auto"/>
          <w:lang w:val="en-US" w:eastAsia="zh-CN"/>
        </w:rPr>
        <w:t>达到</w:t>
      </w:r>
      <w:r>
        <w:rPr>
          <w:rFonts w:hint="default" w:ascii="Times New Roman" w:hAnsi="Times New Roman" w:cs="Times New Roman"/>
          <w:color w:val="auto"/>
        </w:rPr>
        <w:t>50家</w:t>
      </w:r>
      <w:r>
        <w:rPr>
          <w:rFonts w:hint="default" w:ascii="Times New Roman" w:hAnsi="Times New Roman" w:cs="Times New Roman"/>
          <w:color w:val="auto"/>
          <w:lang w:val="en-US" w:eastAsia="zh-CN"/>
        </w:rPr>
        <w:t>以上</w:t>
      </w:r>
      <w:r>
        <w:rPr>
          <w:rFonts w:hint="default" w:ascii="Times New Roman" w:hAnsi="Times New Roman" w:cs="Times New Roman"/>
          <w:color w:val="auto"/>
        </w:rPr>
        <w:t>，</w:t>
      </w:r>
      <w:r>
        <w:rPr>
          <w:rFonts w:hint="default" w:ascii="Times New Roman" w:hAnsi="Times New Roman" w:cs="Times New Roman"/>
          <w:color w:val="auto"/>
          <w:lang w:val="en-US" w:eastAsia="zh-CN"/>
        </w:rPr>
        <w:t>其中新培育省级以上农业龙头企业3家</w:t>
      </w:r>
      <w:r>
        <w:rPr>
          <w:rFonts w:hint="default" w:ascii="Times New Roman" w:hAnsi="Times New Roman" w:cs="Times New Roman"/>
          <w:color w:val="auto"/>
        </w:rPr>
        <w:t>。</w:t>
      </w:r>
    </w:p>
    <w:p w14:paraId="642AA700">
      <w:pPr>
        <w:pStyle w:val="4"/>
        <w:pageBreakBefore w:val="0"/>
        <w:wordWrap/>
        <w:overflowPunct/>
        <w:topLinePunct w:val="0"/>
        <w:bidi w:val="0"/>
        <w:ind w:left="0" w:leftChars="0"/>
        <w:rPr>
          <w:rFonts w:hint="default" w:ascii="Times New Roman" w:hAnsi="Times New Roman" w:cs="Times New Roman"/>
          <w:color w:val="auto"/>
        </w:rPr>
      </w:pPr>
      <w:bookmarkStart w:id="132" w:name="_Toc9023"/>
      <w:r>
        <w:rPr>
          <w:rFonts w:hint="default" w:ascii="Times New Roman" w:hAnsi="Times New Roman" w:cs="Times New Roman"/>
          <w:color w:val="auto"/>
        </w:rPr>
        <w:t>（二）推动家庭农场规模集约规范发展</w:t>
      </w:r>
      <w:bookmarkEnd w:id="132"/>
    </w:p>
    <w:p w14:paraId="44DC4FC0">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rPr>
        <w:t>适度规模生产。</w:t>
      </w:r>
      <w:r>
        <w:rPr>
          <w:rFonts w:hint="default" w:ascii="Times New Roman" w:hAnsi="Times New Roman" w:cs="Times New Roman"/>
          <w:color w:val="auto"/>
        </w:rPr>
        <w:t>引导家庭农场坚持以家庭经营为基础，通过</w:t>
      </w:r>
      <w:r>
        <w:rPr>
          <w:rFonts w:hint="eastAsia" w:ascii="Times New Roman" w:hAnsi="Times New Roman" w:cs="Times New Roman"/>
          <w:color w:val="auto"/>
          <w:lang w:eastAsia="zh-CN"/>
        </w:rPr>
        <w:t>土地</w:t>
      </w:r>
      <w:r>
        <w:rPr>
          <w:rFonts w:hint="default" w:ascii="Times New Roman" w:hAnsi="Times New Roman" w:cs="Times New Roman"/>
          <w:color w:val="auto"/>
        </w:rPr>
        <w:t>流转</w:t>
      </w:r>
      <w:r>
        <w:rPr>
          <w:rFonts w:hint="eastAsia" w:ascii="Times New Roman" w:hAnsi="Times New Roman" w:cs="Times New Roman"/>
          <w:color w:val="auto"/>
          <w:lang w:eastAsia="zh-CN"/>
        </w:rPr>
        <w:t>开展适度规模化经营</w:t>
      </w:r>
      <w:r>
        <w:rPr>
          <w:rFonts w:hint="default" w:ascii="Times New Roman" w:hAnsi="Times New Roman" w:cs="Times New Roman"/>
          <w:color w:val="auto"/>
        </w:rPr>
        <w:t>。聚焦粮食类家庭农场，综合考虑地力状况、品种选择、农田设施、立体种养、配套农机等因素，探索建立规模经营主体评估指标体系；因地制宜确定家庭农场的适度经营规模区间。</w:t>
      </w:r>
    </w:p>
    <w:p w14:paraId="1BFFB011">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rPr>
        <w:t>集约化生产经营。</w:t>
      </w:r>
      <w:r>
        <w:rPr>
          <w:rFonts w:hint="default" w:ascii="Times New Roman" w:hAnsi="Times New Roman" w:cs="Times New Roman"/>
          <w:color w:val="auto"/>
        </w:rPr>
        <w:t>加快推广“种粮一体化”生产经营机制，鼓励生产、贸易、储备、物流和加工企业等主体，与种植大户、家庭农场、农民专业合作社等开展订单购销。以土地的规模化、连片化、标准化，现代化的生产、经营管理及便捷高效的农业社会化服务体系，推进家庭农场的集约化生产，夯实“吨粮田”基础，降低家庭农场的生产经营成本，提升家庭农场的生产经营能力。</w:t>
      </w:r>
    </w:p>
    <w:p w14:paraId="66C7ABCD">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lang w:val="en-US" w:eastAsia="zh-CN"/>
        </w:rPr>
        <w:t>规范化管理。</w:t>
      </w:r>
      <w:r>
        <w:rPr>
          <w:rFonts w:hint="default" w:ascii="Times New Roman" w:hAnsi="Times New Roman" w:cs="Times New Roman"/>
          <w:color w:val="auto"/>
        </w:rPr>
        <w:t>完善家庭农场名录系统，加强家庭农场</w:t>
      </w:r>
      <w:r>
        <w:rPr>
          <w:rFonts w:hint="default" w:ascii="Times New Roman" w:hAnsi="Times New Roman" w:cs="Times New Roman"/>
          <w:color w:val="auto"/>
          <w:lang w:eastAsia="zh-CN"/>
        </w:rPr>
        <w:t>规范化</w:t>
      </w:r>
      <w:r>
        <w:rPr>
          <w:rFonts w:hint="default" w:ascii="Times New Roman" w:hAnsi="Times New Roman" w:cs="Times New Roman"/>
          <w:color w:val="auto"/>
        </w:rPr>
        <w:t>管理</w:t>
      </w:r>
      <w:r>
        <w:rPr>
          <w:rFonts w:hint="default" w:ascii="Times New Roman" w:hAnsi="Times New Roman" w:cs="Times New Roman"/>
          <w:color w:val="auto"/>
          <w:lang w:eastAsia="zh-CN"/>
        </w:rPr>
        <w:t>，</w:t>
      </w:r>
      <w:r>
        <w:rPr>
          <w:rFonts w:hint="default" w:ascii="Times New Roman" w:hAnsi="Times New Roman" w:cs="Times New Roman"/>
          <w:color w:val="auto"/>
        </w:rPr>
        <w:t>继续做好家庭农场监测和竞争淘汰。分类构建家庭农场经营绩效评价体系。</w:t>
      </w:r>
    </w:p>
    <w:p w14:paraId="4BEEBB32">
      <w:pPr>
        <w:pStyle w:val="4"/>
        <w:bidi w:val="0"/>
        <w:rPr>
          <w:rFonts w:hint="default" w:ascii="Times New Roman" w:hAnsi="Times New Roman" w:eastAsia="楷体_GB2312" w:cs="Times New Roman"/>
          <w:color w:val="auto"/>
          <w:lang w:eastAsia="zh-CN"/>
        </w:rPr>
      </w:pPr>
      <w:bookmarkStart w:id="133" w:name="_Toc222923962"/>
      <w:bookmarkStart w:id="134" w:name="_Toc9940"/>
      <w:bookmarkStart w:id="135" w:name="_Toc1392662391"/>
      <w:bookmarkStart w:id="136" w:name="_Toc1091082967"/>
      <w:r>
        <w:rPr>
          <w:rFonts w:hint="default" w:ascii="Times New Roman" w:hAnsi="Times New Roman" w:cs="Times New Roman"/>
          <w:color w:val="auto"/>
        </w:rPr>
        <w:t>（三）</w:t>
      </w:r>
      <w:r>
        <w:rPr>
          <w:rFonts w:hint="default" w:ascii="Times New Roman" w:hAnsi="Times New Roman" w:cs="Times New Roman"/>
          <w:color w:val="auto"/>
          <w:lang w:eastAsia="zh-CN"/>
        </w:rPr>
        <w:t>健全</w:t>
      </w:r>
      <w:r>
        <w:rPr>
          <w:rFonts w:hint="default" w:ascii="Times New Roman" w:hAnsi="Times New Roman" w:cs="Times New Roman"/>
          <w:color w:val="auto"/>
        </w:rPr>
        <w:t>农民专业合作社</w:t>
      </w:r>
      <w:r>
        <w:rPr>
          <w:rFonts w:hint="default" w:ascii="Times New Roman" w:hAnsi="Times New Roman" w:cs="Times New Roman"/>
          <w:color w:val="auto"/>
          <w:lang w:eastAsia="zh-CN"/>
        </w:rPr>
        <w:t>运行</w:t>
      </w:r>
      <w:r>
        <w:rPr>
          <w:rFonts w:hint="default" w:ascii="Times New Roman" w:hAnsi="Times New Roman" w:cs="Times New Roman"/>
          <w:color w:val="auto"/>
        </w:rPr>
        <w:t>机制</w:t>
      </w:r>
      <w:bookmarkEnd w:id="133"/>
      <w:bookmarkEnd w:id="134"/>
    </w:p>
    <w:p w14:paraId="651B6F53">
      <w:pPr>
        <w:bidi w:val="0"/>
        <w:rPr>
          <w:rFonts w:hint="default" w:ascii="Times New Roman" w:hAnsi="Times New Roman" w:cs="Times New Roman"/>
          <w:color w:val="auto"/>
        </w:rPr>
      </w:pPr>
      <w:r>
        <w:rPr>
          <w:rFonts w:hint="default" w:ascii="Times New Roman" w:hAnsi="Times New Roman" w:cs="Times New Roman"/>
          <w:color w:val="auto"/>
          <w:lang w:val="en-US" w:eastAsia="zh-CN"/>
        </w:rPr>
        <w:t>支持农民专业合作社开展信息、培训、农产品标准与认证、农业生产基础设施建设、市场营销和技术推广等服务。</w:t>
      </w:r>
      <w:r>
        <w:rPr>
          <w:rFonts w:hint="eastAsia" w:ascii="Times New Roman" w:hAnsi="Times New Roman" w:cs="Times New Roman"/>
          <w:color w:val="auto"/>
          <w:lang w:val="en-US" w:eastAsia="zh-CN"/>
        </w:rPr>
        <w:t>规范</w:t>
      </w:r>
      <w:r>
        <w:rPr>
          <w:rFonts w:hint="default" w:ascii="Times New Roman" w:hAnsi="Times New Roman" w:cs="Times New Roman"/>
          <w:color w:val="auto"/>
          <w:lang w:val="en-US" w:eastAsia="zh-CN"/>
        </w:rPr>
        <w:t>农民</w:t>
      </w:r>
      <w:r>
        <w:rPr>
          <w:rFonts w:hint="eastAsia" w:ascii="Times New Roman" w:hAnsi="Times New Roman" w:cs="Times New Roman"/>
          <w:color w:val="auto"/>
          <w:lang w:val="en-US" w:eastAsia="zh-CN"/>
        </w:rPr>
        <w:t>专业</w:t>
      </w:r>
      <w:r>
        <w:rPr>
          <w:rFonts w:hint="default" w:ascii="Times New Roman" w:hAnsi="Times New Roman" w:cs="Times New Roman"/>
          <w:color w:val="auto"/>
          <w:lang w:val="en-US" w:eastAsia="zh-CN"/>
        </w:rPr>
        <w:t>合作社治理结构、财务管理和分配机制，分类处置“空壳社”“僵尸社”。鼓励农民专业合作社开展农机作业、农资供应、技术信息、农家乐、民间工艺、土地股份、捕捞等合作</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拓展合作社发展空间。</w:t>
      </w:r>
      <w:bookmarkEnd w:id="135"/>
    </w:p>
    <w:bookmarkEnd w:id="136"/>
    <w:p w14:paraId="31ECA721">
      <w:pPr>
        <w:pStyle w:val="4"/>
        <w:bidi w:val="0"/>
        <w:rPr>
          <w:rFonts w:hint="default" w:ascii="Times New Roman" w:hAnsi="Times New Roman" w:cs="Times New Roman"/>
          <w:color w:val="auto"/>
        </w:rPr>
      </w:pPr>
      <w:bookmarkStart w:id="137" w:name="_Toc832612459"/>
      <w:bookmarkStart w:id="138" w:name="_Toc31205"/>
      <w:r>
        <w:rPr>
          <w:rFonts w:hint="default" w:ascii="Times New Roman" w:hAnsi="Times New Roman" w:cs="Times New Roman"/>
          <w:color w:val="auto"/>
        </w:rPr>
        <w:t>（四）鼓励</w:t>
      </w:r>
      <w:r>
        <w:rPr>
          <w:rFonts w:hint="default" w:ascii="Times New Roman" w:hAnsi="Times New Roman" w:cs="Times New Roman"/>
          <w:color w:val="auto"/>
          <w:lang w:val="en-US" w:eastAsia="zh-CN"/>
        </w:rPr>
        <w:t>新型</w:t>
      </w:r>
      <w:r>
        <w:rPr>
          <w:rFonts w:hint="default" w:ascii="Times New Roman" w:hAnsi="Times New Roman" w:cs="Times New Roman"/>
          <w:color w:val="auto"/>
        </w:rPr>
        <w:t>农业经营主体的联合和带动</w:t>
      </w:r>
      <w:bookmarkEnd w:id="137"/>
      <w:bookmarkEnd w:id="138"/>
    </w:p>
    <w:p w14:paraId="772AA852">
      <w:pPr>
        <w:bidi w:val="0"/>
        <w:rPr>
          <w:rFonts w:hint="default" w:ascii="Times New Roman" w:hAnsi="Times New Roman" w:cs="Times New Roman"/>
          <w:color w:val="auto"/>
          <w:u w:val="none"/>
        </w:rPr>
      </w:pPr>
      <w:r>
        <w:rPr>
          <w:rFonts w:hint="default" w:ascii="Times New Roman" w:hAnsi="Times New Roman" w:cs="Times New Roman"/>
          <w:b/>
          <w:bCs/>
          <w:color w:val="auto"/>
        </w:rPr>
        <w:t>支持新型农业经营主体间的联合</w:t>
      </w:r>
      <w:r>
        <w:rPr>
          <w:rFonts w:hint="default" w:ascii="Times New Roman" w:hAnsi="Times New Roman" w:cs="Times New Roman"/>
          <w:b/>
          <w:bCs/>
          <w:color w:val="auto"/>
          <w:lang w:eastAsia="zh-CN"/>
        </w:rPr>
        <w:t>。</w:t>
      </w:r>
      <w:r>
        <w:rPr>
          <w:rFonts w:hint="default" w:ascii="Times New Roman" w:hAnsi="Times New Roman" w:cs="Times New Roman"/>
          <w:color w:val="auto"/>
        </w:rPr>
        <w:t>完善以农业企业为龙头、农民专业合作社为纽带、家庭农场为基础的农业产业联盟运行机制，组建一批带动能力突出、示范效应明显的家庭农场协会或联盟。</w:t>
      </w:r>
      <w:r>
        <w:rPr>
          <w:rFonts w:hint="default" w:ascii="Times New Roman" w:hAnsi="Times New Roman" w:cs="Times New Roman"/>
          <w:color w:val="auto"/>
          <w:u w:val="none"/>
        </w:rPr>
        <w:t>支持家庭农场以资产、资金、技术、手艺等入股创办企业，实现家庭农场经营的产业链延伸、价值链提升、服务链完善。</w:t>
      </w:r>
    </w:p>
    <w:p w14:paraId="2644C23A">
      <w:pPr>
        <w:bidi w:val="0"/>
        <w:rPr>
          <w:rFonts w:hint="default" w:ascii="Times New Roman" w:hAnsi="Times New Roman" w:cs="Times New Roman"/>
          <w:color w:val="auto"/>
        </w:rPr>
      </w:pPr>
      <w:r>
        <w:rPr>
          <w:rFonts w:hint="default" w:ascii="Times New Roman" w:hAnsi="Times New Roman" w:cs="Times New Roman"/>
          <w:b/>
          <w:bCs/>
          <w:color w:val="auto"/>
        </w:rPr>
        <w:t>创新联合主体的组织形式</w:t>
      </w:r>
      <w:r>
        <w:rPr>
          <w:rFonts w:hint="default" w:ascii="Times New Roman" w:hAnsi="Times New Roman" w:cs="Times New Roman"/>
          <w:b/>
          <w:bCs/>
          <w:color w:val="auto"/>
          <w:lang w:eastAsia="zh-CN"/>
        </w:rPr>
        <w:t>。</w:t>
      </w:r>
      <w:r>
        <w:rPr>
          <w:rFonts w:hint="default" w:ascii="Times New Roman" w:hAnsi="Times New Roman" w:cs="Times New Roman"/>
          <w:color w:val="auto"/>
        </w:rPr>
        <w:t>鼓励创新联合主体的组织形式，引导推进相邻服务主体以资金、技术、服务等要素为纽带，搭建区域性农业社会化服务综合平台，为生产者提供“一站式”服务，推广“服务主体+农村集体经济组织+农户”“服务主体+各类新型经营主体+农户”等组织形式，促进各主体紧密联结、利益共享、风险共担，依托集体经济组织、供销社、农业企业等，采取</w:t>
      </w:r>
      <w:r>
        <w:rPr>
          <w:rFonts w:hint="default" w:ascii="Times New Roman" w:hAnsi="Times New Roman" w:cs="Times New Roman"/>
          <w:color w:val="auto"/>
          <w:lang w:eastAsia="zh-CN"/>
        </w:rPr>
        <w:t>“</w:t>
      </w:r>
      <w:r>
        <w:rPr>
          <w:rFonts w:hint="default" w:ascii="Times New Roman" w:hAnsi="Times New Roman" w:cs="Times New Roman"/>
          <w:color w:val="auto"/>
        </w:rPr>
        <w:t>农资+服务</w:t>
      </w:r>
      <w:r>
        <w:rPr>
          <w:rFonts w:hint="default" w:ascii="Times New Roman" w:hAnsi="Times New Roman" w:cs="Times New Roman"/>
          <w:color w:val="auto"/>
          <w:lang w:eastAsia="zh-CN"/>
        </w:rPr>
        <w:t>”</w:t>
      </w:r>
      <w:r>
        <w:rPr>
          <w:rFonts w:hint="default" w:ascii="Times New Roman" w:hAnsi="Times New Roman" w:cs="Times New Roman"/>
          <w:color w:val="auto"/>
        </w:rPr>
        <w:t>“科技+服务”“互联网+服务”等方式，推进技物结合、技服结合，实现业务拓展、创新发展。</w:t>
      </w:r>
    </w:p>
    <w:p w14:paraId="2B2832CF">
      <w:pPr>
        <w:bidi w:val="0"/>
        <w:rPr>
          <w:rFonts w:hint="default" w:ascii="Times New Roman" w:hAnsi="Times New Roman" w:cs="Times New Roman"/>
          <w:strike/>
          <w:dstrike w:val="0"/>
          <w:color w:val="auto"/>
        </w:rPr>
      </w:pPr>
      <w:r>
        <w:rPr>
          <w:rFonts w:hint="default" w:ascii="Times New Roman" w:hAnsi="Times New Roman" w:cs="Times New Roman"/>
          <w:b/>
          <w:bCs/>
          <w:color w:val="auto"/>
        </w:rPr>
        <w:t>鼓励新型农业经营主体带动小农</w:t>
      </w:r>
      <w:r>
        <w:rPr>
          <w:rFonts w:hint="default" w:ascii="Times New Roman" w:hAnsi="Times New Roman" w:cs="Times New Roman"/>
          <w:b/>
          <w:bCs/>
          <w:color w:val="auto"/>
          <w:lang w:val="en-US" w:eastAsia="zh-CN"/>
        </w:rPr>
        <w:t>户</w:t>
      </w:r>
      <w:r>
        <w:rPr>
          <w:rFonts w:hint="default" w:ascii="Times New Roman" w:hAnsi="Times New Roman" w:cs="Times New Roman"/>
          <w:b/>
          <w:bCs/>
          <w:color w:val="auto"/>
          <w:lang w:eastAsia="zh-CN"/>
        </w:rPr>
        <w:t>。</w:t>
      </w:r>
      <w:r>
        <w:rPr>
          <w:rFonts w:hint="default" w:ascii="Times New Roman" w:hAnsi="Times New Roman" w:cs="Times New Roman"/>
          <w:color w:val="auto"/>
        </w:rPr>
        <w:t>发挥家庭农场、农民专业合作社、农业龙头企业等新型经营主体的带动作用，与小农户建立利益联结机制，为小农户提供现代生产经营服务，让小农</w:t>
      </w:r>
      <w:r>
        <w:rPr>
          <w:rFonts w:hint="default" w:ascii="Times New Roman" w:hAnsi="Times New Roman" w:cs="Times New Roman"/>
          <w:color w:val="auto"/>
          <w:lang w:val="en-US" w:eastAsia="zh-CN"/>
        </w:rPr>
        <w:t>户分享</w:t>
      </w:r>
      <w:r>
        <w:rPr>
          <w:rFonts w:hint="default" w:ascii="Times New Roman" w:hAnsi="Times New Roman" w:cs="Times New Roman"/>
          <w:color w:val="auto"/>
        </w:rPr>
        <w:t>经济社会发展的成果，促进小农户和现代农业有机衔接，跟上农业农村现代化的步伐。鼓励小农户以土地经营权等入股新型农业经营主体的企业，新型农业经营主体健全便捷高效的农业社会化服务体系，带动小</w:t>
      </w:r>
      <w:r>
        <w:rPr>
          <w:rFonts w:hint="default" w:ascii="Times New Roman" w:hAnsi="Times New Roman" w:cs="Times New Roman"/>
          <w:color w:val="auto"/>
          <w:lang w:eastAsia="zh-CN"/>
        </w:rPr>
        <w:t>农户</w:t>
      </w:r>
      <w:r>
        <w:rPr>
          <w:rFonts w:hint="default" w:ascii="Times New Roman" w:hAnsi="Times New Roman" w:cs="Times New Roman"/>
          <w:color w:val="auto"/>
        </w:rPr>
        <w:t>加强农业生产经营。</w:t>
      </w:r>
    </w:p>
    <w:p w14:paraId="05E3CDDE">
      <w:pPr>
        <w:pStyle w:val="4"/>
        <w:pageBreakBefore w:val="0"/>
        <w:wordWrap/>
        <w:overflowPunct/>
        <w:topLinePunct w:val="0"/>
        <w:bidi w:val="0"/>
        <w:ind w:left="0" w:leftChars="0"/>
        <w:rPr>
          <w:rFonts w:hint="default" w:ascii="Times New Roman" w:hAnsi="Times New Roman" w:eastAsia="仿宋_GB2312" w:cs="Times New Roman"/>
          <w:color w:val="auto"/>
          <w:lang w:val="en-US" w:eastAsia="zh-CN"/>
        </w:rPr>
      </w:pPr>
      <w:bookmarkStart w:id="139" w:name="_Toc1764260479"/>
      <w:bookmarkStart w:id="140" w:name="_Toc3377"/>
      <w:bookmarkStart w:id="141" w:name="_Toc1164609049"/>
      <w:r>
        <w:rPr>
          <w:rFonts w:hint="default" w:ascii="Times New Roman" w:hAnsi="Times New Roman" w:cs="Times New Roman"/>
          <w:color w:val="auto"/>
        </w:rPr>
        <w:t>（五）</w:t>
      </w:r>
      <w:r>
        <w:rPr>
          <w:rFonts w:hint="default" w:ascii="Times New Roman" w:hAnsi="Times New Roman" w:cs="Times New Roman"/>
          <w:color w:val="auto"/>
          <w:lang w:eastAsia="zh-CN"/>
        </w:rPr>
        <w:t>构建</w:t>
      </w:r>
      <w:r>
        <w:rPr>
          <w:rFonts w:hint="default" w:ascii="Times New Roman" w:hAnsi="Times New Roman" w:cs="Times New Roman"/>
          <w:color w:val="auto"/>
        </w:rPr>
        <w:t>多元化农业社会化服务</w:t>
      </w:r>
      <w:bookmarkEnd w:id="139"/>
      <w:r>
        <w:rPr>
          <w:rFonts w:hint="default" w:ascii="Times New Roman" w:hAnsi="Times New Roman" w:cs="Times New Roman"/>
          <w:color w:val="auto"/>
          <w:lang w:eastAsia="zh-CN"/>
        </w:rPr>
        <w:t>体系</w:t>
      </w:r>
      <w:bookmarkEnd w:id="140"/>
      <w:bookmarkEnd w:id="141"/>
    </w:p>
    <w:p w14:paraId="3DBFF950">
      <w:pPr>
        <w:pageBreakBefore w:val="0"/>
        <w:wordWrap/>
        <w:overflowPunct/>
        <w:topLinePunct w:val="0"/>
        <w:bidi w:val="0"/>
        <w:ind w:left="0" w:left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区域性农业综合服务中心（农事）是区域性现代农业综合服务体系中的重要部分（表3）。西部、南部、东部和中部4个区域性综合服务中心（农事）服务于海门各区镇（街道）。各农事服务中心机具装备齐全、指挥调度顺畅、人员配备合理、机构运行规范、应急保障有效，为集农业农机技术推广、示范展示、信息服务、产业培育等多功能于一体的现代化农业服务枢纽。</w:t>
      </w:r>
    </w:p>
    <w:p w14:paraId="2DF10FE0">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全面深化供销</w:t>
      </w:r>
      <w:r>
        <w:rPr>
          <w:rFonts w:hint="default" w:ascii="Times New Roman" w:hAnsi="Times New Roman" w:cs="Times New Roman"/>
          <w:color w:val="auto"/>
          <w:lang w:eastAsia="zh-CN"/>
        </w:rPr>
        <w:t>合作</w:t>
      </w:r>
      <w:r>
        <w:rPr>
          <w:rFonts w:hint="default" w:ascii="Times New Roman" w:hAnsi="Times New Roman" w:cs="Times New Roman"/>
          <w:color w:val="auto"/>
        </w:rPr>
        <w:t>社综合改革，推进农业社会化服务机制创新</w:t>
      </w:r>
      <w:bookmarkStart w:id="142" w:name="_Toc1201066994"/>
      <w:r>
        <w:rPr>
          <w:rFonts w:hint="default" w:ascii="Times New Roman" w:hAnsi="Times New Roman" w:cs="Times New Roman"/>
          <w:color w:val="auto"/>
        </w:rPr>
        <w:t>，架起产销对接长效桥梁。</w:t>
      </w:r>
      <w:bookmarkEnd w:id="142"/>
      <w:r>
        <w:rPr>
          <w:rFonts w:hint="default" w:ascii="Times New Roman" w:hAnsi="Times New Roman" w:cs="Times New Roman"/>
          <w:color w:val="auto"/>
        </w:rPr>
        <w:t>推进化肥农药规范经营，推广农药零差率集中采购配供。有序推进化肥农药实名制购买、定额制使用“两制”试点工作，探索定额制使用标准；构建“两制”大数据管理体系，打造实名制购销渠道，加大推进农业绿色发展。开展农村食品安全整治行动和农村市场秩序净化行动。</w:t>
      </w:r>
    </w:p>
    <w:p w14:paraId="7636DC3B">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大力培育农业社会化服务主体，充分发挥不同主体的优势和功能，高质量建强一批产供销对路，聚集集中育苗、烘干加工、农技服务、农资配送、农机服务维修、农业废弃物收集处理、农产品营销、仓储保鲜冷链和农事研学等功能的多元社会化服务主体</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为乡村提供多元社会化服务，让农民分享更多的发展成果，推进农业农村现代化进程。</w:t>
      </w:r>
      <w:r>
        <w:rPr>
          <w:rFonts w:hint="default" w:ascii="Times New Roman" w:hAnsi="Times New Roman" w:cs="Times New Roman"/>
          <w:color w:val="auto"/>
        </w:rPr>
        <w:t>完善现代农业社会化服务网络，支持村集体经济组织、农民专业合作社加强对成员服务，为小农户和新型农业经营主体提供一体化的农业生产性服务。鼓励乡村各类经营主体提供家政服务、养老服务、社区服务、家庭护理等多元化生活性服务</w:t>
      </w:r>
      <w:r>
        <w:rPr>
          <w:rFonts w:hint="default" w:ascii="Times New Roman" w:hAnsi="Times New Roman" w:cs="Times New Roman"/>
          <w:color w:val="auto"/>
          <w:lang w:eastAsia="zh-CN"/>
        </w:rPr>
        <w:t>。</w:t>
      </w:r>
      <w:bookmarkStart w:id="143" w:name="_Toc1112526236"/>
      <w:bookmarkStart w:id="144" w:name="_Toc1305010192"/>
      <w:bookmarkStart w:id="145" w:name="_Toc946348435"/>
    </w:p>
    <w:bookmarkEnd w:id="143"/>
    <w:bookmarkEnd w:id="144"/>
    <w:bookmarkEnd w:id="145"/>
    <w:p w14:paraId="20CA815E">
      <w:pPr>
        <w:pageBreakBefore w:val="0"/>
        <w:wordWrap/>
        <w:overflowPunct/>
        <w:topLinePunct w:val="0"/>
        <w:bidi w:val="0"/>
        <w:ind w:left="0" w:leftChars="0"/>
        <w:rPr>
          <w:rFonts w:hint="default" w:ascii="Times New Roman" w:hAnsi="Times New Roman" w:eastAsia="宋体" w:cs="Times New Roman"/>
          <w:color w:val="auto"/>
          <w:szCs w:val="32"/>
        </w:rPr>
        <w:sectPr>
          <w:footnotePr>
            <w:numFmt w:val="decimalEnclosedCircleChinese"/>
            <w:numRestart w:val="eachPage"/>
          </w:footnotePr>
          <w:pgSz w:w="11906" w:h="16838"/>
          <w:pgMar w:top="2098" w:right="1474" w:bottom="1984" w:left="1587" w:header="510" w:footer="1474" w:gutter="0"/>
          <w:pgNumType w:fmt="decimal"/>
          <w:cols w:space="0" w:num="1"/>
          <w:rtlGutter w:val="0"/>
          <w:docGrid w:type="lines" w:linePitch="326" w:charSpace="0"/>
        </w:sectPr>
      </w:pPr>
    </w:p>
    <w:p w14:paraId="3CC39AA1">
      <w:pPr>
        <w:pStyle w:val="2"/>
        <w:pageBreakBefore w:val="0"/>
        <w:wordWrap/>
        <w:overflowPunct/>
        <w:topLinePunct w:val="0"/>
        <w:bidi w:val="0"/>
        <w:spacing w:before="0" w:beforeLines="0" w:after="0" w:afterLines="0"/>
        <w:ind w:left="0" w:leftChars="0"/>
        <w:rPr>
          <w:rFonts w:hint="default" w:ascii="Times New Roman" w:hAnsi="Times New Roman" w:eastAsia="黑体" w:cs="Times New Roman"/>
          <w:color w:val="auto"/>
          <w:lang w:eastAsia="zh-CN"/>
        </w:rPr>
      </w:pPr>
      <w:bookmarkStart w:id="146" w:name="_Toc1418327785"/>
      <w:bookmarkStart w:id="147" w:name="_Toc31747"/>
      <w:r>
        <w:rPr>
          <w:rFonts w:hint="default" w:ascii="Times New Roman" w:hAnsi="Times New Roman" w:eastAsia="黑体" w:cs="Times New Roman"/>
          <w:color w:val="auto"/>
        </w:rPr>
        <w:t xml:space="preserve">第三章 </w:t>
      </w:r>
      <w:r>
        <w:rPr>
          <w:rFonts w:hint="default" w:ascii="Times New Roman" w:hAnsi="Times New Roman" w:eastAsia="黑体" w:cs="Times New Roman"/>
          <w:color w:val="auto"/>
          <w:lang w:eastAsia="zh-CN"/>
        </w:rPr>
        <w:t>建设宜居宜业和美乡村</w:t>
      </w:r>
      <w:r>
        <w:rPr>
          <w:rFonts w:hint="default" w:ascii="Times New Roman" w:hAnsi="Times New Roman" w:eastAsia="黑体" w:cs="Times New Roman"/>
          <w:color w:val="auto"/>
        </w:rPr>
        <w:t xml:space="preserve"> 实现</w:t>
      </w:r>
      <w:r>
        <w:rPr>
          <w:rFonts w:hint="default" w:ascii="Times New Roman" w:hAnsi="Times New Roman" w:eastAsia="黑体" w:cs="Times New Roman"/>
          <w:color w:val="auto"/>
          <w:lang w:eastAsia="zh-CN"/>
        </w:rPr>
        <w:t>“</w:t>
      </w:r>
      <w:r>
        <w:rPr>
          <w:rFonts w:hint="default" w:ascii="Times New Roman" w:hAnsi="Times New Roman" w:eastAsia="黑体" w:cs="Times New Roman"/>
          <w:color w:val="auto"/>
        </w:rPr>
        <w:t>农村</w:t>
      </w:r>
      <w:r>
        <w:rPr>
          <w:rFonts w:hint="default" w:ascii="Times New Roman" w:hAnsi="Times New Roman" w:eastAsia="黑体" w:cs="Times New Roman"/>
          <w:color w:val="auto"/>
          <w:lang w:eastAsia="zh-CN"/>
        </w:rPr>
        <w:t>更</w:t>
      </w:r>
      <w:r>
        <w:rPr>
          <w:rFonts w:hint="default" w:ascii="Times New Roman" w:hAnsi="Times New Roman" w:eastAsia="黑体" w:cs="Times New Roman"/>
          <w:color w:val="auto"/>
        </w:rPr>
        <w:t>美</w:t>
      </w:r>
      <w:r>
        <w:rPr>
          <w:rFonts w:hint="default" w:ascii="Times New Roman" w:hAnsi="Times New Roman" w:eastAsia="黑体" w:cs="Times New Roman"/>
          <w:color w:val="auto"/>
          <w:lang w:eastAsia="zh-CN"/>
        </w:rPr>
        <w:t>”</w:t>
      </w:r>
      <w:bookmarkEnd w:id="146"/>
      <w:bookmarkEnd w:id="147"/>
    </w:p>
    <w:p w14:paraId="7DA548DC">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lang w:eastAsia="zh-CN"/>
        </w:rPr>
        <w:t>以“千万工程”经验为引领，</w:t>
      </w:r>
      <w:r>
        <w:rPr>
          <w:rFonts w:hint="default" w:ascii="Times New Roman" w:hAnsi="Times New Roman" w:cs="Times New Roman"/>
          <w:color w:val="auto"/>
        </w:rPr>
        <w:t>以打造宜居宜业和美乡村为目标，</w:t>
      </w:r>
      <w:bookmarkStart w:id="148" w:name="_Toc1212937663"/>
      <w:r>
        <w:rPr>
          <w:rFonts w:hint="default" w:ascii="Times New Roman" w:hAnsi="Times New Roman" w:cs="Times New Roman"/>
          <w:color w:val="auto"/>
        </w:rPr>
        <w:t>深入实施乡村振兴战略，</w:t>
      </w:r>
      <w:r>
        <w:rPr>
          <w:rFonts w:hint="default" w:ascii="Times New Roman" w:hAnsi="Times New Roman" w:cs="Times New Roman"/>
          <w:color w:val="auto"/>
          <w:lang w:eastAsia="zh-CN"/>
        </w:rPr>
        <w:t>持续深化</w:t>
      </w:r>
      <w:r>
        <w:rPr>
          <w:rFonts w:hint="default" w:ascii="Times New Roman" w:hAnsi="Times New Roman" w:cs="Times New Roman"/>
          <w:color w:val="auto"/>
        </w:rPr>
        <w:t>乡村建设，</w:t>
      </w:r>
      <w:r>
        <w:rPr>
          <w:rFonts w:hint="default" w:ascii="Times New Roman" w:hAnsi="Times New Roman" w:cs="Times New Roman"/>
          <w:color w:val="auto"/>
          <w:lang w:val="en-US" w:eastAsia="zh-CN"/>
        </w:rPr>
        <w:t>实施“生态美丽宜居乡村建设”工程项目，</w:t>
      </w:r>
      <w:r>
        <w:rPr>
          <w:rFonts w:hint="default" w:ascii="Times New Roman" w:hAnsi="Times New Roman" w:cs="Times New Roman"/>
          <w:color w:val="auto"/>
        </w:rPr>
        <w:t>打造</w:t>
      </w:r>
      <w:r>
        <w:rPr>
          <w:rFonts w:hint="default" w:ascii="Times New Roman" w:hAnsi="Times New Roman" w:cs="Times New Roman"/>
          <w:color w:val="auto"/>
          <w:lang w:val="en-US" w:eastAsia="zh-CN"/>
        </w:rPr>
        <w:t>宜居宜业</w:t>
      </w:r>
      <w:r>
        <w:rPr>
          <w:rFonts w:hint="default" w:ascii="Times New Roman" w:hAnsi="Times New Roman" w:cs="Times New Roman"/>
          <w:color w:val="auto"/>
        </w:rPr>
        <w:t>和美乡村“海门样板”，推动乡村建设从“</w:t>
      </w:r>
      <w:r>
        <w:rPr>
          <w:rFonts w:hint="default" w:ascii="Times New Roman" w:hAnsi="Times New Roman" w:cs="Times New Roman"/>
          <w:color w:val="auto"/>
          <w:lang w:eastAsia="zh-CN"/>
        </w:rPr>
        <w:t>外在</w:t>
      </w:r>
      <w:r>
        <w:rPr>
          <w:rFonts w:hint="default" w:ascii="Times New Roman" w:hAnsi="Times New Roman" w:cs="Times New Roman"/>
          <w:color w:val="auto"/>
        </w:rPr>
        <w:t>美”向“内涵美”转型升级</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擦亮和美乡村建设幸福底色</w:t>
      </w:r>
      <w:r>
        <w:rPr>
          <w:rFonts w:hint="default" w:ascii="Times New Roman" w:hAnsi="Times New Roman" w:cs="Times New Roman"/>
          <w:color w:val="auto"/>
        </w:rPr>
        <w:t>，真正实现</w:t>
      </w:r>
      <w:r>
        <w:rPr>
          <w:rFonts w:hint="default" w:ascii="Times New Roman" w:hAnsi="Times New Roman" w:cs="Times New Roman"/>
          <w:color w:val="auto"/>
          <w:lang w:eastAsia="zh-CN"/>
        </w:rPr>
        <w:t>“</w:t>
      </w:r>
      <w:r>
        <w:rPr>
          <w:rFonts w:hint="default" w:ascii="Times New Roman" w:hAnsi="Times New Roman" w:cs="Times New Roman"/>
          <w:color w:val="auto"/>
        </w:rPr>
        <w:t>农村美</w:t>
      </w:r>
      <w:r>
        <w:rPr>
          <w:rFonts w:hint="default" w:ascii="Times New Roman" w:hAnsi="Times New Roman" w:cs="Times New Roman"/>
          <w:color w:val="auto"/>
          <w:lang w:eastAsia="zh-CN"/>
        </w:rPr>
        <w:t>”</w:t>
      </w:r>
      <w:r>
        <w:rPr>
          <w:rFonts w:hint="default" w:ascii="Times New Roman" w:hAnsi="Times New Roman" w:cs="Times New Roman"/>
          <w:color w:val="auto"/>
        </w:rPr>
        <w:t>。</w:t>
      </w:r>
      <w:bookmarkEnd w:id="148"/>
    </w:p>
    <w:p w14:paraId="0A45E67F">
      <w:pPr>
        <w:pStyle w:val="3"/>
        <w:pageBreakBefore w:val="0"/>
        <w:wordWrap/>
        <w:overflowPunct/>
        <w:topLinePunct w:val="0"/>
        <w:bidi w:val="0"/>
        <w:ind w:left="0" w:leftChars="0"/>
        <w:rPr>
          <w:rFonts w:hint="default" w:ascii="Times New Roman" w:hAnsi="Times New Roman" w:cs="Times New Roman"/>
          <w:color w:val="auto"/>
        </w:rPr>
      </w:pPr>
      <w:bookmarkStart w:id="149" w:name="_Toc766600795"/>
      <w:bookmarkStart w:id="150" w:name="_Toc2777"/>
      <w:r>
        <w:rPr>
          <w:rFonts w:hint="default" w:ascii="Times New Roman" w:hAnsi="Times New Roman" w:cs="Times New Roman"/>
          <w:color w:val="auto"/>
        </w:rPr>
        <w:t>一、</w:t>
      </w:r>
      <w:bookmarkEnd w:id="149"/>
      <w:r>
        <w:rPr>
          <w:rFonts w:hint="default" w:ascii="Times New Roman" w:hAnsi="Times New Roman" w:cs="Times New Roman"/>
          <w:color w:val="auto"/>
        </w:rPr>
        <w:t>持续开展宜居宜业和美乡村建设</w:t>
      </w:r>
      <w:bookmarkEnd w:id="150"/>
      <w:bookmarkStart w:id="151" w:name="_Toc294077397"/>
      <w:bookmarkStart w:id="152" w:name="_Toc1505163212"/>
      <w:bookmarkStart w:id="153" w:name="_Toc2045793702"/>
    </w:p>
    <w:p w14:paraId="6AB95AFB">
      <w:pPr>
        <w:pageBreakBefore w:val="0"/>
        <w:wordWrap/>
        <w:overflowPunct/>
        <w:topLinePunct w:val="0"/>
        <w:bidi w:val="0"/>
        <w:ind w:left="0" w:leftChars="0"/>
        <w:rPr>
          <w:rFonts w:hint="default" w:ascii="Times New Roman" w:hAnsi="Times New Roman" w:cs="Times New Roman"/>
          <w:color w:val="auto"/>
        </w:rPr>
      </w:pPr>
      <w:bookmarkStart w:id="154" w:name="_Toc669300198"/>
      <w:r>
        <w:rPr>
          <w:rFonts w:hint="default" w:ascii="Times New Roman" w:hAnsi="Times New Roman" w:cs="Times New Roman"/>
          <w:color w:val="auto"/>
          <w:lang w:val="en-US" w:eastAsia="zh-CN"/>
        </w:rPr>
        <w:t>学习运用“千万工程”经验，巩固乡村振兴建设成果，持续</w:t>
      </w:r>
      <w:r>
        <w:rPr>
          <w:rFonts w:hint="default" w:ascii="Times New Roman" w:hAnsi="Times New Roman" w:cs="Times New Roman"/>
          <w:color w:val="auto"/>
        </w:rPr>
        <w:t>推进</w:t>
      </w:r>
      <w:r>
        <w:rPr>
          <w:rFonts w:hint="default" w:ascii="Times New Roman" w:hAnsi="Times New Roman" w:cs="Times New Roman"/>
          <w:color w:val="auto"/>
          <w:lang w:val="en-US" w:eastAsia="zh-CN"/>
        </w:rPr>
        <w:t>以</w:t>
      </w:r>
      <w:r>
        <w:rPr>
          <w:rFonts w:hint="default" w:ascii="Times New Roman" w:hAnsi="Times New Roman" w:cs="Times New Roman"/>
          <w:color w:val="auto"/>
        </w:rPr>
        <w:t>宜居宜业和美</w:t>
      </w:r>
      <w:r>
        <w:rPr>
          <w:rFonts w:hint="default" w:ascii="Times New Roman" w:hAnsi="Times New Roman" w:cs="Times New Roman"/>
          <w:color w:val="auto"/>
          <w:lang w:val="en-US" w:eastAsia="zh-CN"/>
        </w:rPr>
        <w:t>为重点的</w:t>
      </w:r>
      <w:r>
        <w:rPr>
          <w:rFonts w:hint="default" w:ascii="Times New Roman" w:hAnsi="Times New Roman" w:cs="Times New Roman"/>
          <w:color w:val="auto"/>
        </w:rPr>
        <w:t>乡村建设</w:t>
      </w:r>
      <w:r>
        <w:rPr>
          <w:rFonts w:hint="default" w:ascii="Times New Roman" w:hAnsi="Times New Roman" w:cs="Times New Roman"/>
          <w:color w:val="auto"/>
          <w:lang w:eastAsia="zh-CN"/>
        </w:rPr>
        <w:t>，</w:t>
      </w:r>
      <w:r>
        <w:rPr>
          <w:rFonts w:hint="default" w:ascii="Times New Roman" w:hAnsi="Times New Roman" w:cs="Times New Roman"/>
          <w:color w:val="auto"/>
        </w:rPr>
        <w:t>加快补齐农村现代化生活</w:t>
      </w:r>
      <w:r>
        <w:rPr>
          <w:rFonts w:hint="default" w:ascii="Times New Roman" w:hAnsi="Times New Roman" w:cs="Times New Roman"/>
          <w:color w:val="auto"/>
          <w:lang w:val="en-US" w:eastAsia="zh-CN"/>
        </w:rPr>
        <w:t>条件</w:t>
      </w:r>
      <w:r>
        <w:rPr>
          <w:rFonts w:hint="default" w:ascii="Times New Roman" w:hAnsi="Times New Roman" w:cs="Times New Roman"/>
          <w:color w:val="auto"/>
        </w:rPr>
        <w:t>短板，全力打造环境优美、生活便利的优质乡村空间，切实提升人居环境舒适度。</w:t>
      </w:r>
    </w:p>
    <w:p w14:paraId="3A413E08">
      <w:pPr>
        <w:pStyle w:val="4"/>
        <w:pageBreakBefore w:val="0"/>
        <w:wordWrap/>
        <w:overflowPunct/>
        <w:topLinePunct w:val="0"/>
        <w:bidi w:val="0"/>
        <w:ind w:left="0" w:leftChars="0"/>
        <w:rPr>
          <w:rFonts w:hint="default" w:ascii="Times New Roman" w:hAnsi="Times New Roman" w:eastAsia="楷体_GB2312" w:cs="Times New Roman"/>
          <w:color w:val="auto"/>
          <w:lang w:val="en-US" w:eastAsia="zh-CN"/>
        </w:rPr>
      </w:pPr>
      <w:bookmarkStart w:id="155" w:name="_Toc3108"/>
      <w:r>
        <w:rPr>
          <w:rFonts w:hint="default" w:ascii="Times New Roman" w:hAnsi="Times New Roman" w:cs="Times New Roman"/>
          <w:color w:val="auto"/>
        </w:rPr>
        <w:t>（一）</w:t>
      </w:r>
      <w:r>
        <w:rPr>
          <w:rFonts w:hint="default" w:ascii="Times New Roman" w:hAnsi="Times New Roman" w:cs="Times New Roman"/>
          <w:color w:val="auto"/>
          <w:lang w:val="en-US" w:eastAsia="zh-CN"/>
        </w:rPr>
        <w:t>深化</w:t>
      </w:r>
      <w:r>
        <w:rPr>
          <w:rFonts w:hint="default" w:ascii="Times New Roman" w:hAnsi="Times New Roman" w:cs="Times New Roman"/>
          <w:color w:val="auto"/>
        </w:rPr>
        <w:t>乡村振兴建设</w:t>
      </w:r>
      <w:r>
        <w:rPr>
          <w:rFonts w:hint="default" w:ascii="Times New Roman" w:hAnsi="Times New Roman" w:cs="Times New Roman"/>
          <w:color w:val="auto"/>
          <w:lang w:val="en-US" w:eastAsia="zh-CN"/>
        </w:rPr>
        <w:t>成果</w:t>
      </w:r>
      <w:bookmarkEnd w:id="155"/>
    </w:p>
    <w:p w14:paraId="143C85C7">
      <w:pPr>
        <w:pageBreakBefore w:val="0"/>
        <w:wordWrap/>
        <w:overflowPunct/>
        <w:topLinePunct w:val="0"/>
        <w:bidi w:val="0"/>
        <w:ind w:left="0" w:leftChars="0"/>
        <w:rPr>
          <w:rFonts w:hint="default" w:ascii="Times New Roman" w:hAnsi="Times New Roman" w:cs="Times New Roman"/>
          <w:color w:val="auto"/>
        </w:rPr>
      </w:pPr>
      <w:bookmarkStart w:id="156" w:name="_Toc515546015"/>
      <w:r>
        <w:rPr>
          <w:rFonts w:hint="default" w:ascii="Times New Roman" w:hAnsi="Times New Roman" w:cs="Times New Roman"/>
          <w:b/>
          <w:bCs/>
          <w:color w:val="auto"/>
          <w:lang w:val="en-US" w:eastAsia="zh-CN"/>
        </w:rPr>
        <w:t>巩固乡村振兴</w:t>
      </w:r>
      <w:r>
        <w:rPr>
          <w:rFonts w:hint="default" w:ascii="Times New Roman" w:hAnsi="Times New Roman" w:cs="Times New Roman"/>
          <w:b/>
          <w:bCs/>
          <w:color w:val="auto"/>
        </w:rPr>
        <w:t>项目建设</w:t>
      </w:r>
      <w:r>
        <w:rPr>
          <w:rFonts w:hint="default" w:ascii="Times New Roman" w:hAnsi="Times New Roman" w:cs="Times New Roman"/>
          <w:b/>
          <w:bCs/>
          <w:color w:val="auto"/>
          <w:lang w:val="en-US" w:eastAsia="zh-CN"/>
        </w:rPr>
        <w:t>成果</w:t>
      </w:r>
      <w:bookmarkEnd w:id="156"/>
      <w:r>
        <w:rPr>
          <w:rFonts w:hint="default" w:ascii="Times New Roman" w:hAnsi="Times New Roman" w:cs="Times New Roman"/>
          <w:b/>
          <w:bCs/>
          <w:color w:val="auto"/>
          <w:lang w:val="en-US" w:eastAsia="zh-CN"/>
        </w:rPr>
        <w:t>。</w:t>
      </w:r>
      <w:r>
        <w:rPr>
          <w:rFonts w:hint="default" w:ascii="Times New Roman" w:hAnsi="Times New Roman" w:cs="Times New Roman"/>
          <w:color w:val="auto"/>
        </w:rPr>
        <w:t>“十五五”期间，重点聚焦“建管并重、提质增效、长效赋能”，持续深化“十四五”期间各类乡村振兴项目建设成果，推动已建项目成为农民增收的“聚宝盆”、农村发展的“发动机”、城乡融合“连接桥”。积极推进乡村振兴先行村和乡村振兴示范片项目的长效管护，持续增加经济效益和社会效益，为全面推进乡村振兴提供坚实支撑。</w:t>
      </w:r>
    </w:p>
    <w:p w14:paraId="0A9F7318">
      <w:pPr>
        <w:pageBreakBefore w:val="0"/>
        <w:wordWrap/>
        <w:overflowPunct/>
        <w:topLinePunct w:val="0"/>
        <w:bidi w:val="0"/>
        <w:ind w:left="0" w:leftChars="0"/>
        <w:rPr>
          <w:rFonts w:hint="default" w:ascii="Times New Roman" w:hAnsi="Times New Roman" w:cs="Times New Roman"/>
          <w:color w:val="auto"/>
        </w:rPr>
      </w:pPr>
      <w:bookmarkStart w:id="157" w:name="_Toc1832842107"/>
      <w:r>
        <w:rPr>
          <w:rFonts w:hint="default" w:ascii="Times New Roman" w:hAnsi="Times New Roman" w:cs="Times New Roman"/>
          <w:b/>
          <w:bCs/>
          <w:color w:val="auto"/>
          <w:lang w:val="en-US" w:eastAsia="zh-CN"/>
        </w:rPr>
        <w:t>支持多村联建乡村振兴片区</w:t>
      </w:r>
      <w:bookmarkEnd w:id="157"/>
      <w:r>
        <w:rPr>
          <w:rFonts w:hint="default" w:ascii="Times New Roman" w:hAnsi="Times New Roman" w:cs="Times New Roman"/>
          <w:b/>
          <w:bCs/>
          <w:color w:val="auto"/>
          <w:lang w:val="en-US" w:eastAsia="zh-CN"/>
        </w:rPr>
        <w:t>。</w:t>
      </w:r>
      <w:r>
        <w:rPr>
          <w:rFonts w:hint="default" w:ascii="Times New Roman" w:hAnsi="Times New Roman" w:cs="Times New Roman"/>
          <w:color w:val="auto"/>
        </w:rPr>
        <w:t>支持有条件的地区开展多村联建，在核心区域“小循环”、村域“中循环”基础上，打造跨村域、镇域的乡村振兴片区“大循环”，加强片区、村域之间的协调，持续地推动片区发展，形成乡村振兴多点共创的良好局面。“十五五”期间</w:t>
      </w:r>
      <w:r>
        <w:rPr>
          <w:rFonts w:hint="default" w:ascii="Times New Roman" w:hAnsi="Times New Roman" w:cs="Times New Roman"/>
          <w:color w:val="auto"/>
          <w:lang w:val="en-US" w:eastAsia="zh-CN"/>
        </w:rPr>
        <w:t>分类有序、片区化推进乡村振兴，</w:t>
      </w:r>
      <w:r>
        <w:rPr>
          <w:rFonts w:hint="default" w:ascii="Times New Roman" w:hAnsi="Times New Roman" w:cs="Times New Roman"/>
          <w:color w:val="auto"/>
        </w:rPr>
        <w:t>加强片区建设，储备项目，根据统一部署，积极申报各类乡村振兴片区。</w:t>
      </w:r>
    </w:p>
    <w:p w14:paraId="31949129">
      <w:pPr>
        <w:pageBreakBefore w:val="0"/>
        <w:wordWrap/>
        <w:overflowPunct/>
        <w:topLinePunct w:val="0"/>
        <w:bidi w:val="0"/>
        <w:ind w:left="0" w:leftChars="0"/>
        <w:rPr>
          <w:rFonts w:hint="default" w:ascii="Times New Roman" w:hAnsi="Times New Roman" w:cs="Times New Roman"/>
          <w:color w:val="auto"/>
          <w:lang w:val="en-US" w:eastAsia="zh-CN"/>
        </w:rPr>
      </w:pPr>
      <w:bookmarkStart w:id="158" w:name="_Toc1071859781"/>
      <w:r>
        <w:rPr>
          <w:rFonts w:hint="default" w:ascii="Times New Roman" w:hAnsi="Times New Roman" w:cs="Times New Roman"/>
          <w:b/>
          <w:bCs/>
          <w:color w:val="auto"/>
          <w:lang w:val="en-US" w:eastAsia="zh-CN"/>
        </w:rPr>
        <w:t>增强人民群众的获得感</w:t>
      </w:r>
      <w:bookmarkEnd w:id="158"/>
      <w:r>
        <w:rPr>
          <w:rFonts w:hint="default" w:ascii="Times New Roman" w:hAnsi="Times New Roman" w:cs="Times New Roman"/>
          <w:b/>
          <w:bCs/>
          <w:color w:val="auto"/>
          <w:lang w:val="en-US" w:eastAsia="zh-CN"/>
        </w:rPr>
        <w:t>。</w:t>
      </w:r>
      <w:r>
        <w:rPr>
          <w:rFonts w:hint="default" w:ascii="Times New Roman" w:hAnsi="Times New Roman" w:cs="Times New Roman"/>
          <w:color w:val="auto"/>
        </w:rPr>
        <w:t>大力宣传乡村振兴先行村和示范片建设成果</w:t>
      </w:r>
      <w:r>
        <w:rPr>
          <w:rFonts w:hint="default" w:ascii="Times New Roman" w:hAnsi="Times New Roman" w:cs="Times New Roman"/>
          <w:color w:val="auto"/>
          <w:lang w:val="en-US" w:eastAsia="zh-CN"/>
        </w:rPr>
        <w:t>和</w:t>
      </w:r>
      <w:r>
        <w:rPr>
          <w:rFonts w:hint="default" w:ascii="Times New Roman" w:hAnsi="Times New Roman" w:cs="Times New Roman"/>
          <w:color w:val="auto"/>
        </w:rPr>
        <w:t>典型人物、事迹</w:t>
      </w:r>
      <w:r>
        <w:rPr>
          <w:rFonts w:hint="default" w:ascii="Times New Roman" w:hAnsi="Times New Roman" w:cs="Times New Roman"/>
          <w:color w:val="auto"/>
          <w:lang w:eastAsia="zh-CN"/>
        </w:rPr>
        <w:t>、</w:t>
      </w:r>
      <w:r>
        <w:rPr>
          <w:rFonts w:hint="default" w:ascii="Times New Roman" w:hAnsi="Times New Roman" w:cs="Times New Roman"/>
          <w:color w:val="auto"/>
        </w:rPr>
        <w:t>经验，发挥榜样的示范引领作用。丰富宣传渠道，通过图片展、视频短片、实地参观等多种形式，展示乡村振兴取得的阶段性成果，让人民群众直观地感受到乡村的变化</w:t>
      </w:r>
      <w:r>
        <w:rPr>
          <w:rFonts w:hint="default" w:ascii="Times New Roman" w:hAnsi="Times New Roman" w:cs="Times New Roman"/>
          <w:color w:val="auto"/>
          <w:lang w:eastAsia="zh-CN"/>
        </w:rPr>
        <w:t>。</w:t>
      </w:r>
      <w:r>
        <w:rPr>
          <w:rFonts w:hint="default" w:ascii="Times New Roman" w:hAnsi="Times New Roman" w:cs="Times New Roman"/>
          <w:color w:val="auto"/>
        </w:rPr>
        <w:t>及时总结实施经验，逐渐探索、优化乡村全面振兴的模式和路径，形成适合当地乡村振兴发展的新路径新模式，进一步增强人民群众的获得感。</w:t>
      </w:r>
    </w:p>
    <w:p w14:paraId="61009215">
      <w:pPr>
        <w:pStyle w:val="4"/>
        <w:pageBreakBefore w:val="0"/>
        <w:wordWrap/>
        <w:overflowPunct/>
        <w:topLinePunct w:val="0"/>
        <w:bidi w:val="0"/>
        <w:ind w:left="0" w:leftChars="0" w:firstLine="640" w:firstLineChars="200"/>
        <w:rPr>
          <w:rFonts w:hint="default" w:ascii="Times New Roman" w:hAnsi="Times New Roman" w:eastAsia="楷体_GB2312" w:cs="Times New Roman"/>
          <w:color w:val="auto"/>
          <w:lang w:val="en-US" w:eastAsia="zh-CN"/>
        </w:rPr>
      </w:pPr>
      <w:bookmarkStart w:id="159" w:name="_Toc32721"/>
      <w:r>
        <w:rPr>
          <w:rFonts w:hint="default" w:ascii="Times New Roman" w:hAnsi="Times New Roman" w:cs="Times New Roman"/>
          <w:color w:val="auto"/>
          <w:lang w:val="en-US" w:eastAsia="zh-CN"/>
        </w:rPr>
        <w:t>（二）打造</w:t>
      </w:r>
      <w:r>
        <w:rPr>
          <w:rFonts w:hint="default" w:ascii="Times New Roman" w:hAnsi="Times New Roman" w:cs="Times New Roman"/>
          <w:color w:val="auto"/>
        </w:rPr>
        <w:t>宜居宜业和美乡村</w:t>
      </w:r>
      <w:bookmarkEnd w:id="154"/>
      <w:r>
        <w:rPr>
          <w:rFonts w:hint="default" w:ascii="Times New Roman" w:hAnsi="Times New Roman" w:cs="Times New Roman"/>
          <w:color w:val="auto"/>
          <w:lang w:val="en-US" w:eastAsia="zh-CN"/>
        </w:rPr>
        <w:t>片区</w:t>
      </w:r>
      <w:bookmarkEnd w:id="159"/>
    </w:p>
    <w:p w14:paraId="693F2293">
      <w:pPr>
        <w:pageBreakBefore w:val="0"/>
        <w:wordWrap/>
        <w:overflowPunct/>
        <w:topLinePunct w:val="0"/>
        <w:bidi w:val="0"/>
        <w:ind w:left="0" w:leftChars="0"/>
        <w:rPr>
          <w:rFonts w:hint="default" w:ascii="Times New Roman" w:hAnsi="Times New Roman" w:cs="Times New Roman"/>
          <w:color w:val="auto"/>
          <w:lang w:eastAsia="zh-CN"/>
        </w:rPr>
      </w:pPr>
      <w:bookmarkStart w:id="160" w:name="_Toc1758086064"/>
      <w:r>
        <w:rPr>
          <w:rFonts w:hint="default" w:ascii="Times New Roman" w:hAnsi="Times New Roman" w:cs="Times New Roman"/>
          <w:b/>
          <w:bCs/>
          <w:color w:val="auto"/>
        </w:rPr>
        <w:t>高标准建成省级片区</w:t>
      </w:r>
      <w:bookmarkEnd w:id="160"/>
      <w:r>
        <w:rPr>
          <w:rFonts w:hint="default" w:ascii="Times New Roman" w:hAnsi="Times New Roman" w:cs="Times New Roman"/>
          <w:b/>
          <w:bCs/>
          <w:color w:val="auto"/>
          <w:lang w:eastAsia="zh-CN"/>
        </w:rPr>
        <w:t>。</w:t>
      </w:r>
      <w:r>
        <w:rPr>
          <w:rFonts w:hint="default" w:ascii="Times New Roman" w:hAnsi="Times New Roman" w:cs="Times New Roman"/>
          <w:color w:val="auto"/>
        </w:rPr>
        <w:t>坚持</w:t>
      </w:r>
      <w:r>
        <w:rPr>
          <w:rFonts w:hint="default" w:ascii="Times New Roman" w:hAnsi="Times New Roman" w:cs="Times New Roman"/>
          <w:color w:val="auto"/>
          <w:lang w:eastAsia="zh-CN"/>
        </w:rPr>
        <w:t>“</w:t>
      </w:r>
      <w:r>
        <w:rPr>
          <w:rFonts w:hint="default" w:ascii="Times New Roman" w:hAnsi="Times New Roman" w:cs="Times New Roman"/>
          <w:color w:val="auto"/>
        </w:rPr>
        <w:t>规划设计、乡村建设、产业发展、富民增收</w:t>
      </w:r>
      <w:r>
        <w:rPr>
          <w:rFonts w:hint="default" w:ascii="Times New Roman" w:hAnsi="Times New Roman" w:cs="Times New Roman"/>
          <w:color w:val="auto"/>
          <w:lang w:eastAsia="zh-CN"/>
        </w:rPr>
        <w:t>、</w:t>
      </w:r>
      <w:r>
        <w:rPr>
          <w:rFonts w:hint="default" w:ascii="Times New Roman" w:hAnsi="Times New Roman" w:cs="Times New Roman"/>
          <w:color w:val="auto"/>
        </w:rPr>
        <w:t>乡村治理</w:t>
      </w:r>
      <w:r>
        <w:rPr>
          <w:rFonts w:hint="default" w:ascii="Times New Roman" w:hAnsi="Times New Roman" w:cs="Times New Roman"/>
          <w:color w:val="auto"/>
          <w:lang w:eastAsia="zh-CN"/>
        </w:rPr>
        <w:t>”</w:t>
      </w:r>
      <w:r>
        <w:rPr>
          <w:rFonts w:hint="default" w:ascii="Times New Roman" w:hAnsi="Times New Roman" w:cs="Times New Roman"/>
          <w:color w:val="auto"/>
        </w:rPr>
        <w:t>五个协同，推动区域内村庄一体化设计、组团式发展、差异化布局，高标准建成</w:t>
      </w:r>
      <w:r>
        <w:rPr>
          <w:rFonts w:hint="default" w:ascii="Times New Roman" w:hAnsi="Times New Roman" w:cs="Times New Roman"/>
          <w:color w:val="auto"/>
          <w:lang w:eastAsia="zh-CN"/>
        </w:rPr>
        <w:t>“</w:t>
      </w:r>
      <w:r>
        <w:rPr>
          <w:rFonts w:hint="default" w:ascii="Times New Roman" w:hAnsi="Times New Roman" w:cs="Times New Roman"/>
          <w:color w:val="auto"/>
        </w:rPr>
        <w:t>张謇故里宜居宜业和美乡村片区</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提升乡村运营水平</w:t>
      </w:r>
      <w:r>
        <w:rPr>
          <w:rFonts w:hint="default" w:ascii="Times New Roman" w:hAnsi="Times New Roman" w:cs="Times New Roman"/>
          <w:color w:val="auto"/>
          <w:lang w:eastAsia="zh-CN"/>
        </w:rPr>
        <w:t>；</w:t>
      </w:r>
      <w:r>
        <w:rPr>
          <w:rFonts w:hint="default" w:ascii="Times New Roman" w:hAnsi="Times New Roman" w:cs="Times New Roman"/>
          <w:color w:val="auto"/>
        </w:rPr>
        <w:t>结合全域土地综合整治，培育宜居宜业和美乡村，绘就江海田园“新画卷”。发挥省级宜居宜业和美乡村片区</w:t>
      </w:r>
      <w:r>
        <w:rPr>
          <w:rFonts w:hint="default" w:ascii="Times New Roman" w:hAnsi="Times New Roman" w:cs="Times New Roman"/>
          <w:color w:val="auto"/>
          <w:lang w:eastAsia="zh-CN"/>
        </w:rPr>
        <w:t>、</w:t>
      </w:r>
      <w:r>
        <w:rPr>
          <w:rFonts w:hint="default" w:ascii="Times New Roman" w:hAnsi="Times New Roman" w:cs="Times New Roman"/>
          <w:color w:val="auto"/>
        </w:rPr>
        <w:t>和美乡村的示范带动作用，确保建</w:t>
      </w:r>
      <w:r>
        <w:rPr>
          <w:rFonts w:hint="default" w:ascii="Times New Roman" w:hAnsi="Times New Roman" w:cs="Times New Roman"/>
          <w:color w:val="auto"/>
          <w:lang w:val="en-US" w:eastAsia="zh-CN"/>
        </w:rPr>
        <w:t>成</w:t>
      </w:r>
      <w:r>
        <w:rPr>
          <w:rFonts w:hint="default" w:ascii="Times New Roman" w:hAnsi="Times New Roman" w:cs="Times New Roman"/>
          <w:color w:val="auto"/>
        </w:rPr>
        <w:t>一个，辐射带动一片，逐步扩大示范建设覆盖面，为宜居宜业和美海门</w:t>
      </w:r>
      <w:r>
        <w:rPr>
          <w:rFonts w:hint="default" w:ascii="Times New Roman" w:hAnsi="Times New Roman" w:cs="Times New Roman"/>
          <w:color w:val="auto"/>
          <w:lang w:val="en-US" w:eastAsia="zh-CN"/>
        </w:rPr>
        <w:t>建设</w:t>
      </w:r>
      <w:r>
        <w:rPr>
          <w:rFonts w:hint="default" w:ascii="Times New Roman" w:hAnsi="Times New Roman" w:cs="Times New Roman"/>
          <w:color w:val="auto"/>
        </w:rPr>
        <w:t>奠定坚实基础。</w:t>
      </w:r>
      <w:r>
        <w:rPr>
          <w:rFonts w:hint="default" w:ascii="Times New Roman" w:hAnsi="Times New Roman" w:cs="Times New Roman"/>
          <w:color w:val="auto"/>
          <w:lang w:val="en-US" w:eastAsia="zh-CN"/>
        </w:rPr>
        <w:t>“十五五”期间谋划2个储备片区，</w:t>
      </w:r>
      <w:r>
        <w:rPr>
          <w:rFonts w:hint="default" w:ascii="Times New Roman" w:hAnsi="Times New Roman" w:cs="Times New Roman"/>
          <w:color w:val="auto"/>
        </w:rPr>
        <w:t>新增省级宜居宜业和美乡村</w:t>
      </w:r>
      <w:r>
        <w:rPr>
          <w:rFonts w:hint="default" w:ascii="Times New Roman" w:hAnsi="Times New Roman" w:cs="Times New Roman"/>
          <w:color w:val="auto"/>
          <w:lang w:val="en-US" w:eastAsia="zh-CN"/>
        </w:rPr>
        <w:t>2</w:t>
      </w:r>
      <w:r>
        <w:rPr>
          <w:rFonts w:hint="default" w:ascii="Times New Roman" w:hAnsi="Times New Roman" w:cs="Times New Roman"/>
          <w:color w:val="auto"/>
        </w:rPr>
        <w:t>0个；到“十五五”末全区农村人居环境生态宜居、生产生活设施完备便利、基本公共服务城乡均等、村庄风貌各具特色，农村基本具备现代生活条件。</w:t>
      </w:r>
    </w:p>
    <w:p w14:paraId="478B6BBF">
      <w:pPr>
        <w:pageBreakBefore w:val="0"/>
        <w:wordWrap/>
        <w:overflowPunct/>
        <w:topLinePunct w:val="0"/>
        <w:bidi w:val="0"/>
        <w:ind w:left="0" w:leftChars="0"/>
        <w:rPr>
          <w:rFonts w:hint="default" w:ascii="Times New Roman" w:hAnsi="Times New Roman" w:cs="Times New Roman"/>
          <w:color w:val="auto"/>
        </w:rPr>
      </w:pPr>
      <w:bookmarkStart w:id="161" w:name="_Toc924978575"/>
      <w:r>
        <w:rPr>
          <w:rFonts w:hint="default" w:ascii="Times New Roman" w:hAnsi="Times New Roman" w:cs="Times New Roman"/>
          <w:b/>
          <w:bCs/>
          <w:color w:val="auto"/>
        </w:rPr>
        <w:t>推动特色田园片区与宜居宜业和美乡村片区融合</w:t>
      </w:r>
      <w:bookmarkEnd w:id="161"/>
      <w:r>
        <w:rPr>
          <w:rFonts w:hint="default" w:ascii="Times New Roman" w:hAnsi="Times New Roman" w:cs="Times New Roman"/>
          <w:b/>
          <w:bCs/>
          <w:color w:val="auto"/>
          <w:lang w:eastAsia="zh-CN"/>
        </w:rPr>
        <w:t>。</w:t>
      </w:r>
      <w:r>
        <w:rPr>
          <w:rFonts w:hint="default" w:ascii="Times New Roman" w:hAnsi="Times New Roman" w:cs="Times New Roman"/>
          <w:color w:val="auto"/>
        </w:rPr>
        <w:t>充分发挥已建成特色田园乡村、田园综合体的带动作用</w:t>
      </w:r>
      <w:r>
        <w:rPr>
          <w:rFonts w:hint="default" w:ascii="Times New Roman" w:hAnsi="Times New Roman" w:cs="Times New Roman"/>
          <w:color w:val="auto"/>
          <w:lang w:eastAsia="zh-CN"/>
        </w:rPr>
        <w:t>，在</w:t>
      </w:r>
      <w:r>
        <w:rPr>
          <w:rFonts w:hint="default" w:ascii="Times New Roman" w:hAnsi="Times New Roman" w:cs="Times New Roman"/>
          <w:color w:val="auto"/>
        </w:rPr>
        <w:t>“十五五”期间深挖潜力，积极建设特色田园乡村，以点带面积极推进特色田园乡村片区建设，力争排名全市前列。推动特色田园乡村片区与宜居宜业和美乡村片区</w:t>
      </w:r>
      <w:r>
        <w:rPr>
          <w:rFonts w:hint="default" w:ascii="Times New Roman" w:hAnsi="Times New Roman" w:cs="Times New Roman"/>
          <w:color w:val="auto"/>
          <w:lang w:eastAsia="zh-CN"/>
        </w:rPr>
        <w:t>建设</w:t>
      </w:r>
      <w:r>
        <w:rPr>
          <w:rFonts w:hint="default" w:ascii="Times New Roman" w:hAnsi="Times New Roman" w:cs="Times New Roman"/>
          <w:color w:val="auto"/>
        </w:rPr>
        <w:t>有机融合，打造融产业、田园、乡愁于一体的空间连片区域，形成乡村振兴集聚效应。</w:t>
      </w:r>
    </w:p>
    <w:p w14:paraId="2890C0BD">
      <w:pPr>
        <w:pStyle w:val="4"/>
        <w:pageBreakBefore w:val="0"/>
        <w:wordWrap/>
        <w:overflowPunct/>
        <w:topLinePunct w:val="0"/>
        <w:bidi w:val="0"/>
        <w:ind w:left="0" w:leftChars="0"/>
        <w:rPr>
          <w:rFonts w:hint="default" w:ascii="Times New Roman" w:hAnsi="Times New Roman" w:cs="Times New Roman"/>
          <w:color w:val="auto"/>
        </w:rPr>
      </w:pPr>
      <w:bookmarkStart w:id="162" w:name="_Toc409084800"/>
      <w:bookmarkStart w:id="163" w:name="_Toc31567"/>
      <w:r>
        <w:rPr>
          <w:rFonts w:hint="default" w:ascii="Times New Roman" w:hAnsi="Times New Roman" w:cs="Times New Roman"/>
          <w:color w:val="auto"/>
        </w:rPr>
        <w:t>（</w:t>
      </w:r>
      <w:r>
        <w:rPr>
          <w:rFonts w:hint="default" w:ascii="Times New Roman" w:hAnsi="Times New Roman" w:cs="Times New Roman"/>
          <w:color w:val="auto"/>
          <w:lang w:eastAsia="zh-CN"/>
        </w:rPr>
        <w:t>三</w:t>
      </w:r>
      <w:r>
        <w:rPr>
          <w:rFonts w:hint="default" w:ascii="Times New Roman" w:hAnsi="Times New Roman" w:cs="Times New Roman"/>
          <w:color w:val="auto"/>
        </w:rPr>
        <w:t>）提高乡村人居环境</w:t>
      </w:r>
      <w:bookmarkStart w:id="164" w:name="_Toc1198939632"/>
      <w:r>
        <w:rPr>
          <w:rFonts w:hint="default" w:ascii="Times New Roman" w:hAnsi="Times New Roman" w:cs="Times New Roman"/>
          <w:color w:val="auto"/>
        </w:rPr>
        <w:t>舒适度</w:t>
      </w:r>
      <w:bookmarkEnd w:id="162"/>
      <w:bookmarkEnd w:id="163"/>
    </w:p>
    <w:p w14:paraId="3364E749">
      <w:pPr>
        <w:pageBreakBefore w:val="0"/>
        <w:wordWrap/>
        <w:overflowPunct/>
        <w:topLinePunct w:val="0"/>
        <w:bidi w:val="0"/>
        <w:ind w:left="0" w:leftChars="0"/>
        <w:rPr>
          <w:rFonts w:hint="default" w:ascii="Times New Roman" w:hAnsi="Times New Roman" w:cs="Times New Roman"/>
          <w:color w:val="auto"/>
          <w:lang w:eastAsia="zh-CN"/>
        </w:rPr>
      </w:pPr>
      <w:bookmarkStart w:id="165" w:name="_Toc1793831330"/>
      <w:r>
        <w:rPr>
          <w:rFonts w:hint="default" w:ascii="Times New Roman" w:hAnsi="Times New Roman" w:cs="Times New Roman"/>
          <w:b/>
          <w:bCs/>
          <w:color w:val="auto"/>
        </w:rPr>
        <w:t>持续推进“四清一治一改”</w:t>
      </w:r>
      <w:bookmarkEnd w:id="165"/>
      <w:r>
        <w:rPr>
          <w:rFonts w:hint="default" w:ascii="Times New Roman" w:hAnsi="Times New Roman" w:cs="Times New Roman"/>
          <w:b/>
          <w:bCs/>
          <w:color w:val="auto"/>
          <w:lang w:eastAsia="zh-CN"/>
        </w:rPr>
        <w:t>。</w:t>
      </w:r>
      <w:r>
        <w:rPr>
          <w:rFonts w:hint="default" w:ascii="Times New Roman" w:hAnsi="Times New Roman" w:cs="Times New Roman"/>
          <w:color w:val="auto"/>
        </w:rPr>
        <w:t>根据地方标准，提高生活垃圾分类镇街覆盖面，大力实施“四清一治一改”</w:t>
      </w:r>
      <w:r>
        <w:rPr>
          <w:rStyle w:val="29"/>
          <w:rFonts w:hint="default" w:ascii="Times New Roman" w:hAnsi="Times New Roman" w:cs="Times New Roman"/>
          <w:color w:val="auto"/>
        </w:rPr>
        <w:footnoteReference w:id="11"/>
      </w:r>
      <w:r>
        <w:rPr>
          <w:rFonts w:hint="default" w:ascii="Times New Roman" w:hAnsi="Times New Roman" w:cs="Times New Roman"/>
          <w:color w:val="auto"/>
        </w:rPr>
        <w:t>。对农村生活垃圾收运处置体系运维率实行“全周期指导、全要素服务、全链条保障”。锚定“设施智能化、收运高效化、分类精准化、保洁长效化”方向，鼓励基层每月定期开展</w:t>
      </w:r>
      <w:r>
        <w:rPr>
          <w:rFonts w:hint="default" w:ascii="Times New Roman" w:hAnsi="Times New Roman" w:cs="Times New Roman"/>
          <w:color w:val="auto"/>
          <w:lang w:eastAsia="zh-CN"/>
        </w:rPr>
        <w:t>村庄清洁行动</w:t>
      </w:r>
      <w:r>
        <w:rPr>
          <w:rFonts w:hint="default" w:ascii="Times New Roman" w:hAnsi="Times New Roman" w:cs="Times New Roman"/>
          <w:color w:val="auto"/>
        </w:rPr>
        <w:t>，引导农民群众逐步养成良好的生活生产习惯。“十五五”期间</w:t>
      </w:r>
      <w:r>
        <w:rPr>
          <w:rFonts w:hint="default" w:ascii="Times New Roman" w:hAnsi="Times New Roman" w:cs="Times New Roman"/>
          <w:color w:val="auto"/>
          <w:lang w:val="en-US" w:eastAsia="zh-CN"/>
        </w:rPr>
        <w:t>建设</w:t>
      </w:r>
      <w:r>
        <w:rPr>
          <w:rFonts w:hint="default" w:ascii="Times New Roman" w:hAnsi="Times New Roman" w:cs="Times New Roman"/>
          <w:color w:val="auto"/>
        </w:rPr>
        <w:t>三星垃圾中转站</w:t>
      </w:r>
      <w:r>
        <w:rPr>
          <w:rFonts w:hint="default" w:ascii="Times New Roman" w:hAnsi="Times New Roman" w:cs="Times New Roman"/>
          <w:color w:val="auto"/>
          <w:lang w:eastAsia="zh-CN"/>
        </w:rPr>
        <w:t>，</w:t>
      </w:r>
      <w:r>
        <w:rPr>
          <w:rFonts w:hint="default" w:ascii="Times New Roman" w:hAnsi="Times New Roman" w:cs="Times New Roman"/>
          <w:color w:val="auto"/>
        </w:rPr>
        <w:t>农村生活垃圾收运处置体系运维率达到100%</w:t>
      </w:r>
      <w:r>
        <w:rPr>
          <w:rFonts w:hint="default" w:ascii="Times New Roman" w:hAnsi="Times New Roman" w:cs="Times New Roman"/>
          <w:color w:val="auto"/>
          <w:lang w:eastAsia="zh-CN"/>
        </w:rPr>
        <w:t>。</w:t>
      </w:r>
    </w:p>
    <w:p w14:paraId="315805E9">
      <w:pPr>
        <w:pageBreakBefore w:val="0"/>
        <w:wordWrap/>
        <w:overflowPunct/>
        <w:topLinePunct w:val="0"/>
        <w:bidi w:val="0"/>
        <w:ind w:left="0" w:leftChars="0"/>
        <w:rPr>
          <w:rFonts w:hint="default" w:ascii="Times New Roman" w:hAnsi="Times New Roman" w:cs="Times New Roman"/>
          <w:color w:val="auto"/>
        </w:rPr>
      </w:pPr>
      <w:bookmarkStart w:id="166" w:name="_Toc400243077"/>
      <w:r>
        <w:rPr>
          <w:rFonts w:hint="default" w:ascii="Times New Roman" w:hAnsi="Times New Roman" w:cs="Times New Roman"/>
          <w:b/>
          <w:bCs/>
          <w:color w:val="auto"/>
          <w:lang w:val="en-US" w:eastAsia="zh-CN"/>
        </w:rPr>
        <w:t>强化</w:t>
      </w:r>
      <w:r>
        <w:rPr>
          <w:rFonts w:hint="default" w:ascii="Times New Roman" w:hAnsi="Times New Roman" w:cs="Times New Roman"/>
          <w:b/>
          <w:bCs/>
          <w:color w:val="auto"/>
        </w:rPr>
        <w:t>农村生态治理</w:t>
      </w:r>
      <w:bookmarkEnd w:id="166"/>
      <w:r>
        <w:rPr>
          <w:rFonts w:hint="default" w:ascii="Times New Roman" w:hAnsi="Times New Roman" w:cs="Times New Roman"/>
          <w:b/>
          <w:bCs/>
          <w:color w:val="auto"/>
          <w:lang w:eastAsia="zh-CN"/>
        </w:rPr>
        <w:t>。</w:t>
      </w:r>
      <w:r>
        <w:rPr>
          <w:rFonts w:hint="default" w:ascii="Times New Roman" w:hAnsi="Times New Roman" w:cs="Times New Roman"/>
          <w:color w:val="auto"/>
        </w:rPr>
        <w:t>锚定乡村绿色振兴方向，实施生态环境分区管控，衔接生态保护红线、永久基本农田、城镇开发边界等“控制线”。践行一体化保护修复理念，深化环境污染系统治理，实施精准治气和“无废城市”治土行动，实施水土流失治理、湿地保护</w:t>
      </w:r>
      <w:r>
        <w:rPr>
          <w:rFonts w:hint="default" w:ascii="Times New Roman" w:hAnsi="Times New Roman" w:cs="Times New Roman"/>
          <w:color w:val="auto"/>
          <w:lang w:eastAsia="zh-CN"/>
        </w:rPr>
        <w:t>修复</w:t>
      </w:r>
      <w:r>
        <w:rPr>
          <w:rFonts w:hint="default" w:ascii="Times New Roman" w:hAnsi="Times New Roman" w:cs="Times New Roman"/>
          <w:color w:val="auto"/>
        </w:rPr>
        <w:t>等工程，稳固筑牢生态安全屏障，提升环境治理现代化水平。根据“三基本”</w:t>
      </w:r>
      <w:r>
        <w:rPr>
          <w:rStyle w:val="29"/>
          <w:rFonts w:hint="default" w:ascii="Times New Roman" w:hAnsi="Times New Roman" w:eastAsia="仿宋_GB2312" w:cs="Times New Roman"/>
          <w:b w:val="0"/>
          <w:bCs/>
          <w:color w:val="auto"/>
          <w:szCs w:val="32"/>
        </w:rPr>
        <w:footnoteReference w:id="12"/>
      </w:r>
      <w:r>
        <w:rPr>
          <w:rFonts w:hint="default" w:ascii="Times New Roman" w:hAnsi="Times New Roman" w:cs="Times New Roman"/>
          <w:color w:val="auto"/>
        </w:rPr>
        <w:t>原则，结合农村生活污水资源化利用和管控技术要求，治理农村生活污水，强化督查，鼓励</w:t>
      </w:r>
      <w:r>
        <w:rPr>
          <w:rFonts w:hint="default" w:ascii="Times New Roman" w:hAnsi="Times New Roman" w:cs="Times New Roman"/>
          <w:color w:val="auto"/>
          <w:lang w:eastAsia="zh-CN"/>
        </w:rPr>
        <w:t>区镇（街道）</w:t>
      </w:r>
      <w:r>
        <w:rPr>
          <w:rFonts w:hint="default" w:ascii="Times New Roman" w:hAnsi="Times New Roman" w:cs="Times New Roman"/>
          <w:color w:val="auto"/>
        </w:rPr>
        <w:t>引导村民自行维护，保障设施发挥应有效用。“十五五”期间重点攻坚东洲水务六期工程、海川水务三期工程，实现污水处理设施提质增效，2030年农村生活污水治理管控率提升至</w:t>
      </w:r>
      <w:r>
        <w:rPr>
          <w:rFonts w:hint="default" w:ascii="Times New Roman" w:hAnsi="Times New Roman" w:cs="Times New Roman"/>
          <w:color w:val="auto"/>
          <w:lang w:val="en-US"/>
        </w:rPr>
        <w:t>85</w:t>
      </w:r>
      <w:r>
        <w:rPr>
          <w:rFonts w:hint="default" w:ascii="Times New Roman" w:hAnsi="Times New Roman" w:cs="Times New Roman"/>
          <w:color w:val="auto"/>
        </w:rPr>
        <w:t>%。</w:t>
      </w:r>
    </w:p>
    <w:p w14:paraId="5949C31F">
      <w:pPr>
        <w:pageBreakBefore w:val="0"/>
        <w:wordWrap/>
        <w:overflowPunct/>
        <w:topLinePunct w:val="0"/>
        <w:bidi w:val="0"/>
        <w:ind w:left="0" w:leftChars="0"/>
        <w:rPr>
          <w:rFonts w:hint="default" w:ascii="Times New Roman" w:hAnsi="Times New Roman" w:cs="Times New Roman"/>
          <w:color w:val="auto"/>
        </w:rPr>
      </w:pPr>
      <w:bookmarkStart w:id="167" w:name="_Toc966612735"/>
      <w:r>
        <w:rPr>
          <w:rFonts w:hint="default" w:ascii="Times New Roman" w:hAnsi="Times New Roman" w:cs="Times New Roman"/>
          <w:b/>
          <w:bCs/>
          <w:color w:val="auto"/>
        </w:rPr>
        <w:t>持续建设农村生态河道</w:t>
      </w:r>
      <w:bookmarkEnd w:id="167"/>
      <w:r>
        <w:rPr>
          <w:rFonts w:hint="default" w:ascii="Times New Roman" w:hAnsi="Times New Roman" w:cs="Times New Roman"/>
          <w:b/>
          <w:bCs/>
          <w:color w:val="auto"/>
          <w:lang w:eastAsia="zh-CN"/>
        </w:rPr>
        <w:t>。</w:t>
      </w:r>
      <w:r>
        <w:rPr>
          <w:rFonts w:hint="default" w:ascii="Times New Roman" w:hAnsi="Times New Roman" w:cs="Times New Roman"/>
          <w:color w:val="auto"/>
        </w:rPr>
        <w:t>结合乡村振兴战略和农村人居</w:t>
      </w:r>
      <w:r>
        <w:rPr>
          <w:rFonts w:hint="default" w:ascii="Times New Roman" w:hAnsi="Times New Roman" w:cs="Times New Roman"/>
          <w:color w:val="auto"/>
          <w:lang w:eastAsia="zh-CN"/>
        </w:rPr>
        <w:t>环境整治</w:t>
      </w:r>
      <w:r>
        <w:rPr>
          <w:rFonts w:hint="default" w:ascii="Times New Roman" w:hAnsi="Times New Roman" w:cs="Times New Roman"/>
          <w:color w:val="auto"/>
        </w:rPr>
        <w:t>，以改善水环境质量为核心，加强实施水污染防治和水环境，大力推进农村生态河道综合整治；至2030年规划建设农村生态河道110km，实现农村生态河道覆盖率达到85%</w:t>
      </w:r>
      <w:r>
        <w:rPr>
          <w:rFonts w:hint="default" w:ascii="Times New Roman" w:hAnsi="Times New Roman" w:cs="Times New Roman"/>
          <w:color w:val="auto"/>
          <w:lang w:val="en-US" w:eastAsia="zh-CN"/>
        </w:rPr>
        <w:t>左右</w:t>
      </w:r>
      <w:r>
        <w:rPr>
          <w:rFonts w:hint="default" w:ascii="Times New Roman" w:hAnsi="Times New Roman" w:cs="Times New Roman"/>
          <w:color w:val="auto"/>
        </w:rPr>
        <w:t>。根据河道的功能特点因河施策，通过河道岸线管控、河道治理、畅通河网和因地制宜建设护岸，解决河道淤积、功能衰减、水环境恶化等突出问题，采取河道疏浚、水系连通、岸坡整治、生态修复、长效管护等措施，加强河道生态保护，建成“生态之河”“生活之河”“景观之河”“文化之河”，实现自然景观与人文景观交相辉映。</w:t>
      </w:r>
    </w:p>
    <w:p w14:paraId="260603EE">
      <w:pPr>
        <w:pageBreakBefore w:val="0"/>
        <w:wordWrap/>
        <w:overflowPunct/>
        <w:topLinePunct w:val="0"/>
        <w:bidi w:val="0"/>
        <w:ind w:left="0" w:leftChars="0"/>
        <w:rPr>
          <w:rFonts w:hint="default" w:ascii="Times New Roman" w:hAnsi="Times New Roman" w:cs="Times New Roman"/>
          <w:color w:val="auto"/>
        </w:rPr>
      </w:pPr>
      <w:bookmarkStart w:id="168" w:name="_Toc146447590"/>
      <w:r>
        <w:rPr>
          <w:rFonts w:hint="default" w:ascii="Times New Roman" w:hAnsi="Times New Roman" w:cs="Times New Roman"/>
          <w:b/>
          <w:bCs/>
          <w:color w:val="auto"/>
        </w:rPr>
        <w:t>持续完善长效</w:t>
      </w:r>
      <w:r>
        <w:rPr>
          <w:rFonts w:hint="default" w:ascii="Times New Roman" w:hAnsi="Times New Roman" w:cs="Times New Roman"/>
          <w:b/>
          <w:bCs/>
          <w:color w:val="auto"/>
          <w:lang w:eastAsia="zh-CN"/>
        </w:rPr>
        <w:t>管护</w:t>
      </w:r>
      <w:r>
        <w:rPr>
          <w:rFonts w:hint="default" w:ascii="Times New Roman" w:hAnsi="Times New Roman" w:cs="Times New Roman"/>
          <w:b/>
          <w:bCs/>
          <w:color w:val="auto"/>
        </w:rPr>
        <w:t>机制</w:t>
      </w:r>
      <w:bookmarkEnd w:id="168"/>
      <w:r>
        <w:rPr>
          <w:rFonts w:hint="default" w:ascii="Times New Roman" w:hAnsi="Times New Roman" w:cs="Times New Roman"/>
          <w:b/>
          <w:bCs/>
          <w:color w:val="auto"/>
          <w:lang w:eastAsia="zh-CN"/>
        </w:rPr>
        <w:t>。</w:t>
      </w:r>
      <w:r>
        <w:rPr>
          <w:rFonts w:hint="default" w:ascii="Times New Roman" w:hAnsi="Times New Roman" w:cs="Times New Roman"/>
          <w:color w:val="auto"/>
        </w:rPr>
        <w:t>加强与村民沟通，倾听村民的建议，充分尊重村民意愿，发挥村规民约作用，引导村民全过程、全方位参与农村人居环境整治。引导农民逐渐养成良好的习惯，实现自我管理。鼓励社会资本参与农村人居环境治理，推进“农村人居环境整治+产业”发展模式，支持环保设备生产企业、第三方环保服务公司、旅游开发公司等市场主体参与管护；充分发挥智慧化、数字化技术在治理中的作用，鼓励建设智慧服务平台，实时在线监测，加强精准分析管理。</w:t>
      </w:r>
      <w:bookmarkEnd w:id="151"/>
      <w:bookmarkEnd w:id="164"/>
      <w:r>
        <w:rPr>
          <w:rFonts w:hint="default" w:ascii="Times New Roman" w:hAnsi="Times New Roman" w:cs="Times New Roman"/>
          <w:color w:val="auto"/>
        </w:rPr>
        <w:t>健全监督检查评估机制，建立</w:t>
      </w:r>
      <w:r>
        <w:rPr>
          <w:rFonts w:hint="default" w:ascii="Times New Roman" w:hAnsi="Times New Roman" w:cs="Times New Roman"/>
          <w:color w:val="auto"/>
          <w:lang w:eastAsia="zh-CN"/>
        </w:rPr>
        <w:t>“</w:t>
      </w:r>
      <w:r>
        <w:rPr>
          <w:rFonts w:hint="default" w:ascii="Times New Roman" w:hAnsi="Times New Roman" w:cs="Times New Roman"/>
          <w:color w:val="auto"/>
        </w:rPr>
        <w:t>有制度、有标准、有队伍、有经费、有监督</w:t>
      </w:r>
      <w:r>
        <w:rPr>
          <w:rFonts w:hint="default" w:ascii="Times New Roman" w:hAnsi="Times New Roman" w:cs="Times New Roman"/>
          <w:color w:val="auto"/>
          <w:lang w:eastAsia="zh-CN"/>
        </w:rPr>
        <w:t>”</w:t>
      </w:r>
      <w:r>
        <w:rPr>
          <w:rFonts w:hint="default" w:ascii="Times New Roman" w:hAnsi="Times New Roman" w:cs="Times New Roman"/>
          <w:color w:val="auto"/>
        </w:rPr>
        <w:t>的农村人居环境整治长效管护机制。</w:t>
      </w:r>
    </w:p>
    <w:p w14:paraId="2A8DBC24">
      <w:pPr>
        <w:bidi w:val="0"/>
        <w:rPr>
          <w:rFonts w:hint="default" w:ascii="Times New Roman" w:hAnsi="Times New Roman" w:cs="Times New Roman"/>
          <w:color w:val="auto"/>
        </w:rPr>
      </w:pPr>
      <w:r>
        <w:rPr>
          <w:rFonts w:hint="default" w:ascii="Times New Roman" w:hAnsi="Times New Roman" w:cs="Times New Roman"/>
          <w:b/>
          <w:bCs/>
          <w:color w:val="auto"/>
          <w:lang w:eastAsia="zh-CN"/>
        </w:rPr>
        <w:t>推动现代农房宜居建设。</w:t>
      </w:r>
      <w:r>
        <w:rPr>
          <w:rFonts w:hint="default" w:ascii="Times New Roman" w:hAnsi="Times New Roman" w:cs="Times New Roman"/>
          <w:color w:val="auto"/>
          <w:lang w:eastAsia="zh-CN"/>
        </w:rPr>
        <w:t>加快推动农房建设管理制度创新和管理能力现代化，全面提高农房建设质量安全水平，让农村居民群众住上“好房子”，加快建设“功能现代、结构安全、成本经济、绿色环保、风貌协调”的现代宜居农房。分类引导农房建设，科学有序引导农村居民</w:t>
      </w:r>
      <w:r>
        <w:rPr>
          <w:rFonts w:hint="default" w:ascii="Times New Roman" w:hAnsi="Times New Roman" w:cs="Times New Roman"/>
          <w:color w:val="auto"/>
        </w:rPr>
        <w:t>进城入镇</w:t>
      </w:r>
      <w:r>
        <w:rPr>
          <w:rFonts w:hint="default" w:ascii="Times New Roman" w:hAnsi="Times New Roman" w:cs="Times New Roman"/>
          <w:color w:val="auto"/>
          <w:lang w:eastAsia="zh-CN"/>
        </w:rPr>
        <w:t>生活，或者到规划发展村庄按照规划建房。建立完善乡村建设工匠培训和管理工作机制。支持政策性金融机构和商业银行完善农村金融产品和服务，</w:t>
      </w:r>
      <w:r>
        <w:rPr>
          <w:rFonts w:hint="default" w:ascii="Times New Roman" w:hAnsi="Times New Roman" w:cs="Times New Roman"/>
          <w:color w:val="auto"/>
          <w:lang w:val="en-US" w:eastAsia="zh-CN"/>
        </w:rPr>
        <w:t>依法</w:t>
      </w:r>
      <w:r>
        <w:rPr>
          <w:rFonts w:hint="default" w:ascii="Times New Roman" w:hAnsi="Times New Roman" w:cs="Times New Roman"/>
          <w:color w:val="auto"/>
          <w:lang w:eastAsia="zh-CN"/>
        </w:rPr>
        <w:t>依规开发更多信贷产品，助力现代宜居农房建设，拓宽农房建设融资渠道。</w:t>
      </w:r>
      <w:r>
        <w:rPr>
          <w:rFonts w:hint="default" w:ascii="Times New Roman" w:hAnsi="Times New Roman" w:cs="Times New Roman"/>
          <w:color w:val="auto"/>
        </w:rPr>
        <w:t>完善农户主体、政府补助、社会帮扶等多元化资金筹措机制，坚持因地制宜地改造农村低收入群体的危房，应改尽改，逐步健全农村低收入群体住房安全保障长效机制，对特别困难的群众落实好托底安置，动态清零农村C</w:t>
      </w:r>
      <w:r>
        <w:rPr>
          <w:rFonts w:hint="default" w:ascii="Times New Roman" w:hAnsi="Times New Roman" w:cs="Times New Roman"/>
          <w:color w:val="auto"/>
          <w:lang w:val="en-US" w:eastAsia="zh-CN"/>
        </w:rPr>
        <w:t>级和</w:t>
      </w:r>
      <w:r>
        <w:rPr>
          <w:rFonts w:hint="default" w:ascii="Times New Roman" w:hAnsi="Times New Roman" w:cs="Times New Roman"/>
          <w:color w:val="auto"/>
        </w:rPr>
        <w:t>D级危房，彻底清除隐患。改善老旧农房</w:t>
      </w:r>
      <w:r>
        <w:rPr>
          <w:rFonts w:hint="default" w:ascii="Times New Roman" w:hAnsi="Times New Roman" w:cs="Times New Roman"/>
          <w:color w:val="auto"/>
          <w:lang w:eastAsia="zh-CN"/>
        </w:rPr>
        <w:t>，</w:t>
      </w:r>
      <w:r>
        <w:rPr>
          <w:rFonts w:hint="default" w:ascii="Times New Roman" w:hAnsi="Times New Roman" w:cs="Times New Roman"/>
          <w:color w:val="auto"/>
        </w:rPr>
        <w:t>加大对受管控老旧农房的巡查，切实守住“人不进危房，危房不进人”工作底线。</w:t>
      </w:r>
      <w:r>
        <w:rPr>
          <w:rFonts w:hint="default" w:ascii="Times New Roman" w:hAnsi="Times New Roman" w:cs="Times New Roman"/>
          <w:color w:val="auto"/>
          <w:lang w:eastAsia="zh-CN"/>
        </w:rPr>
        <w:t>加强农房建设风貌管控，塑造特色风貌和现代宜居农房建设样板，形成示范带动和集聚效应。</w:t>
      </w:r>
      <w:r>
        <w:rPr>
          <w:rFonts w:hint="default" w:ascii="Times New Roman" w:hAnsi="Times New Roman" w:cs="Times New Roman"/>
          <w:color w:val="auto"/>
        </w:rPr>
        <w:t>“十五五”期间完成1980年及以前建的且农户有意愿的农房改造改善；支</w:t>
      </w:r>
      <w:r>
        <w:rPr>
          <w:rFonts w:hint="default" w:ascii="Times New Roman" w:hAnsi="Times New Roman" w:cs="Times New Roman"/>
          <w:color w:val="auto"/>
          <w:lang w:eastAsia="zh-CN"/>
        </w:rPr>
        <w:t>持和</w:t>
      </w:r>
      <w:r>
        <w:rPr>
          <w:rFonts w:hint="default" w:ascii="Times New Roman" w:hAnsi="Times New Roman" w:cs="Times New Roman"/>
          <w:color w:val="auto"/>
        </w:rPr>
        <w:t>鼓励1981年到2000年所建农村住房的改善，“十五五”期间计划改善农房3000户。</w:t>
      </w:r>
    </w:p>
    <w:bookmarkEnd w:id="152"/>
    <w:bookmarkEnd w:id="153"/>
    <w:p w14:paraId="7F89BCC0">
      <w:pPr>
        <w:pStyle w:val="3"/>
        <w:pageBreakBefore w:val="0"/>
        <w:wordWrap/>
        <w:overflowPunct/>
        <w:topLinePunct w:val="0"/>
        <w:bidi w:val="0"/>
        <w:ind w:left="0" w:leftChars="0"/>
        <w:rPr>
          <w:rFonts w:hint="default" w:ascii="Times New Roman" w:hAnsi="Times New Roman" w:cs="Times New Roman"/>
          <w:color w:val="auto"/>
        </w:rPr>
      </w:pPr>
      <w:bookmarkStart w:id="169" w:name="_Toc585644902"/>
      <w:bookmarkStart w:id="170" w:name="_Toc1621327677"/>
      <w:bookmarkStart w:id="171" w:name="_Toc3504"/>
      <w:r>
        <w:rPr>
          <w:rFonts w:hint="default" w:ascii="Times New Roman" w:hAnsi="Times New Roman" w:cs="Times New Roman"/>
          <w:color w:val="auto"/>
          <w:lang w:val="en-US" w:eastAsia="zh-CN"/>
        </w:rPr>
        <w:t>二</w:t>
      </w:r>
      <w:r>
        <w:rPr>
          <w:rFonts w:hint="default" w:ascii="Times New Roman" w:hAnsi="Times New Roman" w:cs="Times New Roman"/>
          <w:color w:val="auto"/>
        </w:rPr>
        <w:t>、</w:t>
      </w:r>
      <w:r>
        <w:rPr>
          <w:rFonts w:hint="default" w:ascii="Times New Roman" w:hAnsi="Times New Roman" w:cs="Times New Roman"/>
          <w:color w:val="auto"/>
          <w:lang w:eastAsia="zh-CN"/>
        </w:rPr>
        <w:t>深化农村</w:t>
      </w:r>
      <w:r>
        <w:rPr>
          <w:rFonts w:hint="default" w:ascii="Times New Roman" w:hAnsi="Times New Roman" w:cs="Times New Roman"/>
          <w:color w:val="auto"/>
        </w:rPr>
        <w:t>改革激发</w:t>
      </w:r>
      <w:r>
        <w:rPr>
          <w:rFonts w:hint="default" w:ascii="Times New Roman" w:hAnsi="Times New Roman" w:cs="Times New Roman"/>
          <w:color w:val="auto"/>
          <w:lang w:eastAsia="zh-CN"/>
        </w:rPr>
        <w:t>乡村</w:t>
      </w:r>
      <w:r>
        <w:rPr>
          <w:rFonts w:hint="default" w:ascii="Times New Roman" w:hAnsi="Times New Roman" w:cs="Times New Roman"/>
          <w:color w:val="auto"/>
        </w:rPr>
        <w:t>活力</w:t>
      </w:r>
      <w:bookmarkEnd w:id="169"/>
      <w:bookmarkEnd w:id="170"/>
      <w:bookmarkEnd w:id="171"/>
    </w:p>
    <w:p w14:paraId="1E8DEE1F">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坚持“土地公有制性质不改变、耕地红线不突破、农民利益不受损”三条底线，着力健全、优化农村土地等要素配置</w:t>
      </w:r>
      <w:r>
        <w:rPr>
          <w:rFonts w:hint="default" w:ascii="Times New Roman" w:hAnsi="Times New Roman" w:cs="Times New Roman"/>
          <w:color w:val="auto"/>
          <w:lang w:eastAsia="zh-CN"/>
        </w:rPr>
        <w:t>。巩固和完善农村基本经营制度，推进农村承包地</w:t>
      </w:r>
      <w:r>
        <w:rPr>
          <w:rFonts w:hint="default" w:ascii="Times New Roman" w:hAnsi="Times New Roman" w:cs="Times New Roman"/>
          <w:color w:val="auto"/>
          <w:lang w:val="en-US" w:eastAsia="zh-CN"/>
        </w:rPr>
        <w:t>和</w:t>
      </w:r>
      <w:r>
        <w:rPr>
          <w:rFonts w:hint="default" w:ascii="Times New Roman" w:hAnsi="Times New Roman" w:cs="Times New Roman"/>
          <w:color w:val="auto"/>
          <w:lang w:eastAsia="zh-CN"/>
        </w:rPr>
        <w:t>集体经营性建设用地</w:t>
      </w:r>
      <w:r>
        <w:rPr>
          <w:rFonts w:hint="default" w:ascii="Times New Roman" w:hAnsi="Times New Roman" w:cs="Times New Roman"/>
          <w:color w:val="auto"/>
          <w:lang w:val="en-US" w:eastAsia="zh-CN"/>
        </w:rPr>
        <w:t>的</w:t>
      </w:r>
      <w:r>
        <w:rPr>
          <w:rFonts w:hint="default" w:ascii="Times New Roman" w:hAnsi="Times New Roman" w:cs="Times New Roman"/>
          <w:color w:val="auto"/>
          <w:lang w:eastAsia="zh-CN"/>
        </w:rPr>
        <w:t>改革，深化农村集体产权制度改革，</w:t>
      </w:r>
      <w:r>
        <w:rPr>
          <w:rFonts w:hint="default" w:ascii="Times New Roman" w:hAnsi="Times New Roman" w:cs="Times New Roman"/>
          <w:color w:val="auto"/>
          <w:lang w:val="en-US" w:eastAsia="zh-CN"/>
        </w:rPr>
        <w:t>加强农村</w:t>
      </w:r>
      <w:r>
        <w:rPr>
          <w:rFonts w:hint="default" w:ascii="Times New Roman" w:hAnsi="Times New Roman" w:cs="Times New Roman"/>
          <w:color w:val="auto"/>
          <w:lang w:eastAsia="zh-CN"/>
        </w:rPr>
        <w:t>宅基地</w:t>
      </w:r>
      <w:r>
        <w:rPr>
          <w:rFonts w:hint="default" w:ascii="Times New Roman" w:hAnsi="Times New Roman" w:cs="Times New Roman"/>
          <w:color w:val="auto"/>
          <w:lang w:val="en-US" w:eastAsia="zh-CN"/>
        </w:rPr>
        <w:t>管理，提升执法水平等</w:t>
      </w:r>
      <w:r>
        <w:rPr>
          <w:rFonts w:hint="default" w:ascii="Times New Roman" w:hAnsi="Times New Roman" w:cs="Times New Roman"/>
          <w:color w:val="auto"/>
        </w:rPr>
        <w:t>。</w:t>
      </w:r>
    </w:p>
    <w:p w14:paraId="711EA80E">
      <w:pPr>
        <w:pStyle w:val="4"/>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cs="Times New Roman"/>
          <w:color w:val="auto"/>
        </w:rPr>
      </w:pPr>
      <w:bookmarkStart w:id="172" w:name="_Toc28336"/>
      <w:bookmarkStart w:id="173" w:name="_Toc234270556"/>
      <w:bookmarkStart w:id="174" w:name="_Toc1016313713"/>
      <w:r>
        <w:rPr>
          <w:rFonts w:hint="default" w:ascii="Times New Roman" w:hAnsi="Times New Roman" w:eastAsia="楷体_GB2312" w:cs="Times New Roman"/>
          <w:color w:val="auto"/>
          <w:sz w:val="32"/>
          <w:szCs w:val="24"/>
          <w:lang w:val="en-US" w:eastAsia="zh-CN" w:bidi="ar-SA"/>
        </w:rPr>
        <w:t>（一）</w:t>
      </w:r>
      <w:r>
        <w:rPr>
          <w:rFonts w:hint="default" w:ascii="Times New Roman" w:hAnsi="Times New Roman" w:cs="Times New Roman"/>
          <w:color w:val="auto"/>
        </w:rPr>
        <w:t>巩固和完善农村基本经营制度</w:t>
      </w:r>
      <w:bookmarkEnd w:id="172"/>
      <w:bookmarkEnd w:id="173"/>
      <w:bookmarkEnd w:id="174"/>
    </w:p>
    <w:p w14:paraId="6D764E51">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保持农村土地承包关系稳定并长久不变。坚持“大稳定、小调整”，运用农村承包地确权登记颁证成果，扎实推进第二轮土地承包到期后再延长30年工作。研究制定延包具体办法，规范延包程序，妥善化解延包中的</w:t>
      </w:r>
      <w:r>
        <w:rPr>
          <w:rFonts w:hint="eastAsia" w:ascii="Times New Roman" w:hAnsi="Times New Roman" w:cs="Times New Roman"/>
          <w:color w:val="auto"/>
          <w:lang w:val="en-US" w:eastAsia="zh-CN"/>
        </w:rPr>
        <w:t>群众</w:t>
      </w:r>
      <w:r>
        <w:rPr>
          <w:rFonts w:hint="default" w:ascii="Times New Roman" w:hAnsi="Times New Roman" w:cs="Times New Roman"/>
          <w:color w:val="auto"/>
          <w:lang w:val="en-US" w:eastAsia="zh-CN"/>
        </w:rPr>
        <w:t>矛盾。以常乐镇为试点，在全区范围内逐步推开，到2027年8月底前基本完成延包工作，确保绝大多数农户承包地总体顺延、保持稳定。加强农村土地承包合同管理，做好与不动产统一登记有序衔接。深化承包地所有权、承包权、经营权“三权”分置改革，发展农业适度规模经营。</w:t>
      </w:r>
    </w:p>
    <w:p w14:paraId="448E5C70">
      <w:pPr>
        <w:pStyle w:val="4"/>
        <w:bidi w:val="0"/>
        <w:rPr>
          <w:rFonts w:hint="default" w:ascii="Times New Roman" w:hAnsi="Times New Roman" w:cs="Times New Roman"/>
          <w:color w:val="auto"/>
          <w:lang w:val="en-US" w:eastAsia="zh-CN"/>
        </w:rPr>
      </w:pPr>
      <w:bookmarkStart w:id="175" w:name="_Toc1047709741"/>
      <w:bookmarkStart w:id="176" w:name="_Toc1863132458"/>
      <w:bookmarkStart w:id="177" w:name="_Toc20282"/>
      <w:r>
        <w:rPr>
          <w:rFonts w:hint="default" w:ascii="Times New Roman" w:hAnsi="Times New Roman" w:cs="Times New Roman"/>
          <w:color w:val="auto"/>
        </w:rPr>
        <w:t>（二）</w:t>
      </w:r>
      <w:bookmarkEnd w:id="175"/>
      <w:bookmarkEnd w:id="176"/>
      <w:bookmarkStart w:id="178" w:name="_Toc891591861"/>
      <w:r>
        <w:rPr>
          <w:rFonts w:hint="default" w:ascii="Times New Roman" w:hAnsi="Times New Roman" w:cs="Times New Roman"/>
          <w:color w:val="auto"/>
        </w:rPr>
        <w:t>深化农村产权制度改革</w:t>
      </w:r>
      <w:bookmarkEnd w:id="177"/>
    </w:p>
    <w:p w14:paraId="2D00FE5D">
      <w:pPr>
        <w:bidi w:val="0"/>
        <w:rPr>
          <w:rFonts w:hint="default" w:ascii="Times New Roman" w:hAnsi="Times New Roman" w:cs="Times New Roman"/>
          <w:color w:val="auto"/>
          <w:lang w:val="en-US" w:eastAsia="zh-CN"/>
        </w:rPr>
      </w:pPr>
      <w:r>
        <w:rPr>
          <w:rFonts w:hint="default" w:ascii="Times New Roman" w:hAnsi="Times New Roman" w:cs="Times New Roman"/>
          <w:color w:val="auto"/>
        </w:rPr>
        <w:t>持续深化农村集体产权制度改革，规范农村产权流转交易行为</w:t>
      </w:r>
      <w:r>
        <w:rPr>
          <w:rFonts w:hint="default" w:ascii="Times New Roman" w:hAnsi="Times New Roman" w:eastAsia="仿宋_GB2312" w:cs="Times New Roman"/>
          <w:color w:val="auto"/>
          <w:sz w:val="32"/>
          <w:szCs w:val="24"/>
          <w:highlight w:val="none"/>
          <w:lang w:val="en-US" w:eastAsia="zh-CN" w:bidi="ar-SA"/>
        </w:rPr>
        <w:t>，确保农村集体资产平台交易“应进必进”</w:t>
      </w:r>
      <w:r>
        <w:rPr>
          <w:rFonts w:hint="default" w:ascii="Times New Roman" w:hAnsi="Times New Roman" w:cs="Times New Roman"/>
          <w:color w:val="auto"/>
          <w:lang w:eastAsia="zh-CN"/>
        </w:rPr>
        <w:t>；</w:t>
      </w:r>
      <w:r>
        <w:rPr>
          <w:rFonts w:hint="default" w:ascii="Times New Roman" w:hAnsi="Times New Roman" w:cs="Times New Roman"/>
          <w:color w:val="auto"/>
        </w:rPr>
        <w:t>进一步完善交易规则、加强风险防控、强化监督管理、提升交易质量，畅通城乡要素合理流动，提高农村集体资产运营管理水平，促进新型农村集体经济健康持续发展。</w:t>
      </w:r>
      <w:r>
        <w:rPr>
          <w:rFonts w:hint="eastAsia" w:ascii="Times New Roman" w:hAnsi="Times New Roman" w:cs="Times New Roman"/>
          <w:color w:val="auto"/>
          <w:lang w:eastAsia="zh-CN"/>
        </w:rPr>
        <w:t>规范土地流转等交易行为，鼓励参加土地流转履约保证保险。</w:t>
      </w:r>
    </w:p>
    <w:p w14:paraId="240623A6">
      <w:pPr>
        <w:pStyle w:val="4"/>
        <w:keepNext w:val="0"/>
        <w:keepLines w:val="0"/>
        <w:pageBreakBefore w:val="0"/>
        <w:widowControl w:val="0"/>
        <w:kinsoku/>
        <w:wordWrap/>
        <w:overflowPunct/>
        <w:topLinePunct w:val="0"/>
        <w:autoSpaceDE/>
        <w:autoSpaceDN/>
        <w:bidi w:val="0"/>
        <w:adjustRightInd/>
        <w:snapToGrid/>
        <w:ind w:left="0" w:leftChars="0"/>
        <w:textAlignment w:val="auto"/>
        <w:rPr>
          <w:rFonts w:hint="default" w:ascii="Times New Roman" w:hAnsi="Times New Roman" w:cs="Times New Roman"/>
          <w:color w:val="auto"/>
        </w:rPr>
      </w:pPr>
      <w:bookmarkStart w:id="179" w:name="_Toc32560"/>
      <w:r>
        <w:rPr>
          <w:rFonts w:hint="default" w:ascii="Times New Roman" w:hAnsi="Times New Roman" w:cs="Times New Roman"/>
          <w:color w:val="auto"/>
          <w:lang w:val="en-US" w:eastAsia="zh-CN"/>
        </w:rPr>
        <w:t>（三）加强</w:t>
      </w:r>
      <w:r>
        <w:rPr>
          <w:rFonts w:hint="default" w:ascii="Times New Roman" w:hAnsi="Times New Roman" w:cs="Times New Roman"/>
          <w:color w:val="auto"/>
        </w:rPr>
        <w:t>农村宅基地</w:t>
      </w:r>
      <w:r>
        <w:rPr>
          <w:rFonts w:hint="default" w:ascii="Times New Roman" w:hAnsi="Times New Roman" w:cs="Times New Roman"/>
          <w:color w:val="auto"/>
          <w:lang w:val="en-US" w:eastAsia="zh-CN"/>
        </w:rPr>
        <w:t>规范化</w:t>
      </w:r>
      <w:r>
        <w:rPr>
          <w:rFonts w:hint="default" w:ascii="Times New Roman" w:hAnsi="Times New Roman" w:cs="Times New Roman"/>
          <w:color w:val="auto"/>
        </w:rPr>
        <w:t>管理</w:t>
      </w:r>
      <w:bookmarkEnd w:id="179"/>
    </w:p>
    <w:p w14:paraId="6C72C998">
      <w:pPr>
        <w:widowControl/>
        <w:numPr>
          <w:ilvl w:val="0"/>
          <w:numId w:val="0"/>
        </w:numPr>
        <w:bidi w:val="0"/>
        <w:ind w:firstLine="640" w:firstLineChars="200"/>
        <w:rPr>
          <w:rFonts w:hint="default" w:ascii="Times New Roman" w:hAnsi="Times New Roman" w:eastAsia="仿宋_GB2312" w:cs="Times New Roman"/>
          <w:color w:val="auto"/>
          <w:sz w:val="32"/>
          <w:szCs w:val="24"/>
          <w:highlight w:val="none"/>
          <w:lang w:val="en-US" w:eastAsia="zh-CN" w:bidi="ar-SA"/>
        </w:rPr>
      </w:pPr>
      <w:r>
        <w:rPr>
          <w:rFonts w:hint="default" w:ascii="Times New Roman" w:hAnsi="Times New Roman" w:eastAsia="仿宋_GB2312" w:cs="Times New Roman"/>
          <w:color w:val="auto"/>
          <w:sz w:val="32"/>
          <w:szCs w:val="24"/>
          <w:lang w:val="en-US" w:eastAsia="zh-CN" w:bidi="ar-SA"/>
        </w:rPr>
        <w:t>严守农村宅基地政策底线红线不动摇，切实加强农村宅基地规范管理，完善农民建房管理办法，合理核定村民住宅新增建设用地计划需求。切实推行宅基地和农民住宅建设联审联办工作制度。因地制宜探索多元化农民户有所居的保障机制，鼓励农户通过出租、入股、合作等方式盘活利用闲置住房。探索进城落户农民自愿有偿退出宅基地使用权。做好房地一体确权登记颁证。定期开展农村宅基地审批登记备案专项检查，强化违规建房联合执法，形成监管合力，全力实现“控制增量，减少存量”目标。</w:t>
      </w:r>
    </w:p>
    <w:bookmarkEnd w:id="178"/>
    <w:p w14:paraId="08FDA139">
      <w:pPr>
        <w:pStyle w:val="4"/>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lang w:val="en-US" w:eastAsia="zh-CN"/>
        </w:rPr>
      </w:pPr>
      <w:bookmarkStart w:id="180" w:name="_Toc9727"/>
      <w:bookmarkStart w:id="181" w:name="_Toc692325802"/>
      <w:r>
        <w:rPr>
          <w:rFonts w:hint="default" w:ascii="Times New Roman" w:hAnsi="Times New Roman" w:cs="Times New Roman"/>
          <w:color w:val="auto"/>
          <w:lang w:val="en-US" w:eastAsia="zh-CN"/>
        </w:rPr>
        <w:t>（四）提升农业农村执法水平</w:t>
      </w:r>
      <w:bookmarkEnd w:id="180"/>
    </w:p>
    <w:p w14:paraId="20BFF49F">
      <w:pPr>
        <w:rPr>
          <w:rFonts w:hint="default" w:ascii="Times New Roman" w:hAnsi="Times New Roman" w:eastAsia="仿宋_GB2312" w:cs="Times New Roman"/>
          <w:color w:val="auto"/>
          <w:sz w:val="32"/>
          <w:szCs w:val="24"/>
          <w:lang w:val="en-US" w:eastAsia="zh-CN" w:bidi="ar-SA"/>
        </w:rPr>
      </w:pPr>
      <w:r>
        <w:rPr>
          <w:rFonts w:hint="default" w:ascii="Times New Roman" w:hAnsi="Times New Roman" w:eastAsia="仿宋_GB2312" w:cs="Times New Roman"/>
          <w:color w:val="auto"/>
          <w:sz w:val="32"/>
          <w:szCs w:val="24"/>
          <w:lang w:val="en-US" w:eastAsia="zh-CN" w:bidi="ar-SA"/>
        </w:rPr>
        <w:t>以“提效能、强监督、护安全、促规范”为核心，健全规范涉企执法长效机制，防止和纠正违规异地执法和趋利性执法，提升严格、规范、公正和文明执法水平，为农业农村现代化发展保驾护航。</w:t>
      </w:r>
    </w:p>
    <w:p w14:paraId="405B5602">
      <w:pPr>
        <w:rPr>
          <w:rFonts w:hint="default" w:ascii="Times New Roman" w:hAnsi="Times New Roman" w:eastAsia="仿宋_GB2312" w:cs="Times New Roman"/>
          <w:color w:val="auto"/>
          <w:sz w:val="32"/>
          <w:szCs w:val="24"/>
          <w:lang w:val="en-US" w:eastAsia="zh-CN" w:bidi="ar-SA"/>
        </w:rPr>
      </w:pPr>
      <w:r>
        <w:rPr>
          <w:rFonts w:hint="default" w:ascii="Times New Roman" w:hAnsi="Times New Roman" w:eastAsia="仿宋_GB2312" w:cs="Times New Roman"/>
          <w:color w:val="auto"/>
          <w:sz w:val="32"/>
          <w:szCs w:val="24"/>
          <w:lang w:val="en-US" w:eastAsia="zh-CN" w:bidi="ar-SA"/>
        </w:rPr>
        <w:t>以农业投入品监管为抓手，强化农资打假精准执法，压实粮食安全责任，筑牢农业生产根基，保障粮食生产安全。聚焦种子、农药、肥料、兽药、饲料等关键农业投入品，全面落实“双随机</w:t>
      </w:r>
      <w:r>
        <w:rPr>
          <w:rFonts w:hint="default" w:ascii="Times New Roman" w:hAnsi="Times New Roman" w:cs="Times New Roman"/>
          <w:color w:val="auto"/>
          <w:sz w:val="32"/>
          <w:szCs w:val="24"/>
          <w:lang w:val="en-US" w:eastAsia="zh-CN" w:bidi="ar-SA"/>
        </w:rPr>
        <w:t>、</w:t>
      </w:r>
      <w:r>
        <w:rPr>
          <w:rFonts w:hint="default" w:ascii="Times New Roman" w:hAnsi="Times New Roman" w:eastAsia="仿宋_GB2312" w:cs="Times New Roman"/>
          <w:color w:val="auto"/>
          <w:sz w:val="32"/>
          <w:szCs w:val="24"/>
          <w:lang w:val="en-US" w:eastAsia="zh-CN" w:bidi="ar-SA"/>
        </w:rPr>
        <w:t>一公开”抽查机制。严防不合格农资流入生产环节。贯彻食品安全“四个最严”要求，靶向整治突出问题，强化全环节监管，全面保障农产品质量安全，守护群众“舌尖安全”。巩固长江禁渔阶段性成果，深化长三角联动共治机制，联合公安、市场监管、海事等部门开展非法捕捞、违规垂钓专项整治，守护长江生态安全，确保高质量完成长江“十年禁渔”政治任务。规范宅基地监管，高效处置农村违建投诉举报，提升办结质效与群众满意度。</w:t>
      </w:r>
    </w:p>
    <w:p w14:paraId="22071F18">
      <w:pPr>
        <w:pStyle w:val="3"/>
        <w:pageBreakBefore w:val="0"/>
        <w:wordWrap/>
        <w:overflowPunct/>
        <w:topLinePunct w:val="0"/>
        <w:bidi w:val="0"/>
        <w:ind w:left="0" w:leftChars="0"/>
        <w:rPr>
          <w:rFonts w:hint="default" w:ascii="Times New Roman" w:hAnsi="Times New Roman" w:cs="Times New Roman"/>
          <w:color w:val="auto"/>
          <w:lang w:val="en-US" w:eastAsia="zh-CN"/>
        </w:rPr>
      </w:pPr>
      <w:bookmarkStart w:id="182" w:name="_Toc19239"/>
      <w:bookmarkStart w:id="183" w:name="_Toc1505264955"/>
      <w:r>
        <w:rPr>
          <w:rFonts w:hint="default" w:ascii="Times New Roman" w:hAnsi="Times New Roman" w:cs="Times New Roman"/>
          <w:color w:val="auto"/>
          <w:lang w:val="en-US" w:eastAsia="zh-CN"/>
        </w:rPr>
        <w:t>三、提升乡村治理效能</w:t>
      </w:r>
      <w:bookmarkEnd w:id="182"/>
      <w:bookmarkEnd w:id="183"/>
    </w:p>
    <w:p w14:paraId="7EB99BC5">
      <w:pPr>
        <w:pStyle w:val="4"/>
        <w:bidi w:val="0"/>
        <w:rPr>
          <w:rFonts w:hint="default" w:ascii="Times New Roman" w:hAnsi="Times New Roman" w:cs="Times New Roman"/>
          <w:color w:val="auto"/>
          <w:lang w:val="en-US" w:eastAsia="zh-CN"/>
        </w:rPr>
      </w:pPr>
      <w:bookmarkStart w:id="184" w:name="_Toc5601"/>
      <w:bookmarkStart w:id="185" w:name="_Toc1085692817"/>
      <w:bookmarkStart w:id="186" w:name="_Toc1212475275"/>
      <w:r>
        <w:rPr>
          <w:rFonts w:hint="default" w:ascii="Times New Roman" w:hAnsi="Times New Roman" w:cs="Times New Roman"/>
          <w:color w:val="auto"/>
          <w:lang w:val="en-US" w:eastAsia="zh-CN"/>
        </w:rPr>
        <w:t>（一）强化党建引领乡村治理</w:t>
      </w:r>
      <w:bookmarkEnd w:id="184"/>
      <w:bookmarkEnd w:id="185"/>
    </w:p>
    <w:p w14:paraId="48724C14">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以“支部建在网格上”为支点，健全村党组织、网格党支部、宅上党小组、党员中心户、党员示范户“五位一体”组织体系，推动实现党建网、治理网、服务网、执法网、应急网、监督网、数字网等“多网合一”，强化党建引领乡村治理。加大换届后村居党组织、委员会规范化建设，配齐配强关键力量，夯实基层政权基础。巩固基层减负成果，全面落实村居工作事务准入制度，规范村居出具证明事项正负清单，严把村居干部借调关口，让基层有更多时</w:t>
      </w:r>
      <w:r>
        <w:rPr>
          <w:rFonts w:hint="default" w:ascii="Times New Roman" w:hAnsi="Times New Roman" w:cs="Times New Roman"/>
          <w:color w:val="auto"/>
          <w:lang w:eastAsia="zh-CN"/>
        </w:rPr>
        <w:t>间和</w:t>
      </w:r>
      <w:r>
        <w:rPr>
          <w:rFonts w:hint="default" w:ascii="Times New Roman" w:hAnsi="Times New Roman" w:cs="Times New Roman"/>
          <w:color w:val="auto"/>
        </w:rPr>
        <w:t>精力服务群众、推动发展。</w:t>
      </w:r>
    </w:p>
    <w:p w14:paraId="4CD646AC">
      <w:pPr>
        <w:pStyle w:val="4"/>
        <w:bidi w:val="0"/>
        <w:rPr>
          <w:rFonts w:hint="default" w:ascii="Times New Roman" w:hAnsi="Times New Roman" w:cs="Times New Roman"/>
          <w:color w:val="auto"/>
          <w:lang w:val="en-US" w:eastAsia="zh-CN"/>
        </w:rPr>
      </w:pPr>
      <w:bookmarkStart w:id="187" w:name="_Toc12881"/>
      <w:bookmarkStart w:id="188" w:name="_Toc70626760"/>
      <w:r>
        <w:rPr>
          <w:rFonts w:hint="default" w:ascii="Times New Roman" w:hAnsi="Times New Roman" w:cs="Times New Roman"/>
          <w:color w:val="auto"/>
          <w:lang w:val="en-US" w:eastAsia="zh-CN"/>
        </w:rPr>
        <w:t>（二）完善“四治融合”乡村治理模式</w:t>
      </w:r>
      <w:bookmarkEnd w:id="187"/>
      <w:bookmarkEnd w:id="188"/>
      <w:bookmarkStart w:id="189" w:name="_Toc496242246"/>
    </w:p>
    <w:p w14:paraId="4CEA2FC1">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全面推行自治、法治、德治、智治“四治融合”乡村治理模式。坚持自治强基，完善区、镇（街）、村（社区）、网格（小区）四级议事体系，打造“‘海’好说”微议事品牌，实现“民事民议、民事民办”。坚持法治护航，建立健全矛盾隐患排查化解闭环管理工作机制，配齐配强“一村一法律顾问”，推动人民调解组织专业化、职业化、社会化。坚持德治铸魂，全面推行党员群众“双积分”管理，与时俱进完善村规民约，培育选树身边先进典型，</w:t>
      </w:r>
      <w:r>
        <w:rPr>
          <w:rFonts w:hint="default" w:ascii="Times New Roman" w:hAnsi="Times New Roman" w:cs="Times New Roman"/>
          <w:color w:val="auto"/>
          <w:lang w:eastAsia="zh-CN"/>
        </w:rPr>
        <w:t>营造</w:t>
      </w:r>
      <w:r>
        <w:rPr>
          <w:rFonts w:hint="default" w:ascii="Times New Roman" w:hAnsi="Times New Roman" w:cs="Times New Roman"/>
          <w:color w:val="auto"/>
          <w:lang w:val="en-US" w:eastAsia="zh-CN"/>
        </w:rPr>
        <w:t>浓厚向善向上氛围。坚持智治赋能，丰富拓展乡村治理数字化应用场景，完善“吹哨—上报—分流—处置—反馈—评价”接诉即办闭环</w:t>
      </w:r>
      <w:r>
        <w:rPr>
          <w:rFonts w:hint="default" w:ascii="Times New Roman" w:hAnsi="Times New Roman" w:cs="Times New Roman"/>
          <w:color w:val="auto"/>
        </w:rPr>
        <w:t>，不断提升乡村治理信息化、智慧化、精细化等质效水平。</w:t>
      </w:r>
      <w:bookmarkEnd w:id="189"/>
    </w:p>
    <w:p w14:paraId="1B11B2C6">
      <w:pPr>
        <w:pStyle w:val="4"/>
        <w:bidi w:val="0"/>
        <w:rPr>
          <w:rFonts w:hint="default" w:ascii="Times New Roman" w:hAnsi="Times New Roman" w:cs="Times New Roman"/>
          <w:color w:val="auto"/>
          <w:lang w:val="en-US" w:eastAsia="zh-CN"/>
        </w:rPr>
      </w:pPr>
      <w:bookmarkStart w:id="190" w:name="_Toc1612982176"/>
      <w:bookmarkStart w:id="191" w:name="_Toc9625"/>
      <w:r>
        <w:rPr>
          <w:rFonts w:hint="default" w:ascii="Times New Roman" w:hAnsi="Times New Roman" w:cs="Times New Roman"/>
          <w:color w:val="auto"/>
          <w:lang w:val="en-US" w:eastAsia="zh-CN"/>
        </w:rPr>
        <w:t>（三）凝聚多元联动的乡村治理合力</w:t>
      </w:r>
      <w:bookmarkEnd w:id="190"/>
      <w:bookmarkEnd w:id="191"/>
    </w:p>
    <w:p w14:paraId="71372E67">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以打造乡村治理共同体为目标，深化“五社联动”机制，推行“社区合伙人”计划，优化“公益+市场”合伙模式，广泛吸纳社会组织、志愿团体、商户协会参与治理。健全乡村需求、资源、服务“三张清单”制度，项目化转化群众“金点子”，因地制宜推广“幸福食堂”“邻里节”等活动，不断提升群众生活品质。推动社会工作服务站与志愿服务站联动共建，加大社会组织培育、引进力度，拓展乡村公共空间，全面提升基层治理与服务的综合效能。</w:t>
      </w:r>
    </w:p>
    <w:bookmarkEnd w:id="186"/>
    <w:p w14:paraId="3EC91819">
      <w:pPr>
        <w:pStyle w:val="3"/>
        <w:pageBreakBefore w:val="0"/>
        <w:wordWrap/>
        <w:overflowPunct/>
        <w:topLinePunct w:val="0"/>
        <w:bidi w:val="0"/>
        <w:ind w:left="0" w:leftChars="0"/>
        <w:rPr>
          <w:rFonts w:hint="default" w:ascii="Times New Roman" w:hAnsi="Times New Roman" w:cs="Times New Roman"/>
          <w:color w:val="auto"/>
          <w:lang w:val="en-US" w:eastAsia="zh-CN"/>
        </w:rPr>
      </w:pPr>
      <w:bookmarkStart w:id="192" w:name="_Toc1630737025"/>
      <w:bookmarkStart w:id="193" w:name="_Toc1760692885"/>
      <w:bookmarkStart w:id="194" w:name="_Toc30374"/>
      <w:r>
        <w:rPr>
          <w:rFonts w:hint="default" w:ascii="Times New Roman" w:hAnsi="Times New Roman" w:cs="Times New Roman"/>
          <w:color w:val="auto"/>
          <w:lang w:val="en-US" w:eastAsia="zh-CN"/>
        </w:rPr>
        <w:t>四、加强新时代乡风文明</w:t>
      </w:r>
      <w:bookmarkEnd w:id="192"/>
      <w:bookmarkEnd w:id="193"/>
      <w:r>
        <w:rPr>
          <w:rFonts w:hint="default" w:ascii="Times New Roman" w:hAnsi="Times New Roman" w:cs="Times New Roman"/>
          <w:color w:val="auto"/>
          <w:lang w:val="en-US" w:eastAsia="zh-CN"/>
        </w:rPr>
        <w:t>建设</w:t>
      </w:r>
      <w:bookmarkEnd w:id="194"/>
    </w:p>
    <w:p w14:paraId="01FF0520">
      <w:pPr>
        <w:pStyle w:val="4"/>
        <w:bidi w:val="0"/>
        <w:rPr>
          <w:rFonts w:hint="default" w:ascii="Times New Roman" w:hAnsi="Times New Roman" w:cs="Times New Roman"/>
          <w:color w:val="auto"/>
          <w:lang w:val="en-US" w:eastAsia="zh-CN"/>
        </w:rPr>
      </w:pPr>
      <w:bookmarkStart w:id="195" w:name="_Toc13508"/>
      <w:bookmarkStart w:id="196" w:name="_Toc1600715595"/>
      <w:bookmarkStart w:id="197" w:name="_Toc1788146182"/>
      <w:r>
        <w:rPr>
          <w:rFonts w:hint="default" w:ascii="Times New Roman" w:hAnsi="Times New Roman" w:cs="Times New Roman"/>
          <w:color w:val="auto"/>
          <w:lang w:val="en-US" w:eastAsia="zh-CN"/>
        </w:rPr>
        <w:t>（一）加强文明乡风建设</w:t>
      </w:r>
      <w:bookmarkEnd w:id="195"/>
      <w:bookmarkEnd w:id="196"/>
      <w:bookmarkEnd w:id="197"/>
    </w:p>
    <w:p w14:paraId="7AA2AE4C">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持续深化农村精神文明建设，努力推动形成适应新时代要求的思想观念、精神面貌、文明风尚、行为规范。实施文明素质培育行动，优化先进典型选树宣传工作机制，建立健全“身边好人”“道德模范”“文明家庭”等选树体系，依托村广播、文化墙、微信公众号、数字乡村平台等载体，营造“学有榜样、行有示范”的社会氛围。深化新时代文明实践中心（所、站）建设，丰富“文明实践+”应用场景，打造一批具有示范性和引领性的文明实践基地、</w:t>
      </w:r>
      <w:r>
        <w:rPr>
          <w:rFonts w:hint="default" w:ascii="Times New Roman" w:hAnsi="Times New Roman" w:eastAsia="仿宋_GB2312" w:cs="Times New Roman"/>
          <w:color w:val="auto"/>
          <w:sz w:val="32"/>
          <w:szCs w:val="24"/>
          <w:lang w:val="en-US" w:eastAsia="zh-CN" w:bidi="ar-SA"/>
        </w:rPr>
        <w:t>示范带、特色点和文明街区</w:t>
      </w:r>
      <w:r>
        <w:rPr>
          <w:rFonts w:hint="default" w:ascii="Times New Roman" w:hAnsi="Times New Roman" w:cs="Times New Roman"/>
          <w:color w:val="auto"/>
        </w:rPr>
        <w:t>，推动文明实践融入基层治理。加强和改进未成年人思想道德建设，深化“八礼四仪”</w:t>
      </w:r>
      <w:r>
        <w:rPr>
          <w:rFonts w:hint="default" w:ascii="Times New Roman" w:hAnsi="Times New Roman" w:eastAsia="仿宋_GB2312" w:cs="Times New Roman"/>
          <w:color w:val="auto"/>
          <w:szCs w:val="32"/>
          <w:vertAlign w:val="superscript"/>
        </w:rPr>
        <w:footnoteReference w:id="13"/>
      </w:r>
      <w:r>
        <w:rPr>
          <w:rFonts w:hint="default" w:ascii="Times New Roman" w:hAnsi="Times New Roman" w:cs="Times New Roman"/>
          <w:color w:val="auto"/>
        </w:rPr>
        <w:t>文明礼仪教育，健全学校、家庭、社会协同育人机制，以学生文明素养提升带动家庭成员共树文明新风。稳步提升文明村镇创建水平，至2030年省级及以上文明村占比</w:t>
      </w:r>
      <w:r>
        <w:rPr>
          <w:rFonts w:hint="default" w:ascii="Times New Roman" w:hAnsi="Times New Roman" w:cs="Times New Roman"/>
          <w:color w:val="auto"/>
          <w:lang w:val="en-US" w:eastAsia="zh-CN"/>
        </w:rPr>
        <w:t>超</w:t>
      </w:r>
      <w:r>
        <w:rPr>
          <w:rFonts w:hint="default" w:ascii="Times New Roman" w:hAnsi="Times New Roman" w:cs="Times New Roman"/>
          <w:color w:val="auto"/>
        </w:rPr>
        <w:t>9%，较“十四五”末提升1个百分点。深入实施文明乡风建设工程，发挥村规民约、红白理事会、道德评议会等群众组织作用，推进移风易俗宣传教育，倡导婚事新办、丧事简办、孝老爱亲、勤俭节约，引导村民</w:t>
      </w:r>
      <w:r>
        <w:rPr>
          <w:rFonts w:hint="eastAsia" w:ascii="Times New Roman" w:hAnsi="Times New Roman" w:cs="Times New Roman"/>
          <w:color w:val="auto"/>
          <w:lang w:eastAsia="zh-CN"/>
        </w:rPr>
        <w:t>自觉</w:t>
      </w:r>
      <w:r>
        <w:rPr>
          <w:rFonts w:hint="default" w:ascii="Times New Roman" w:hAnsi="Times New Roman" w:cs="Times New Roman"/>
          <w:color w:val="auto"/>
        </w:rPr>
        <w:t>遵规守约，推行文明乡风积分制管理，</w:t>
      </w:r>
      <w:r>
        <w:rPr>
          <w:rFonts w:hint="eastAsia" w:ascii="Times New Roman" w:hAnsi="Times New Roman" w:cs="Times New Roman"/>
          <w:color w:val="auto"/>
          <w:lang w:eastAsia="zh-CN"/>
        </w:rPr>
        <w:t>持续</w:t>
      </w:r>
      <w:r>
        <w:rPr>
          <w:rFonts w:hint="default" w:ascii="Times New Roman" w:hAnsi="Times New Roman" w:cs="Times New Roman"/>
          <w:color w:val="auto"/>
        </w:rPr>
        <w:t>深化自治、德治、法治</w:t>
      </w:r>
      <w:r>
        <w:rPr>
          <w:rFonts w:hint="default" w:ascii="Times New Roman" w:hAnsi="Times New Roman" w:cs="Times New Roman"/>
          <w:color w:val="auto"/>
          <w:lang w:eastAsia="zh-CN"/>
        </w:rPr>
        <w:t>“三治融合”</w:t>
      </w:r>
      <w:r>
        <w:rPr>
          <w:rFonts w:hint="eastAsia" w:ascii="Times New Roman" w:hAnsi="Times New Roman" w:cs="Times New Roman"/>
          <w:color w:val="auto"/>
          <w:lang w:eastAsia="zh-CN"/>
        </w:rPr>
        <w:t>。</w:t>
      </w:r>
    </w:p>
    <w:p w14:paraId="2CE1B139">
      <w:pPr>
        <w:pStyle w:val="4"/>
        <w:bidi w:val="0"/>
        <w:rPr>
          <w:rFonts w:hint="default" w:ascii="Times New Roman" w:hAnsi="Times New Roman" w:cs="Times New Roman"/>
          <w:color w:val="auto"/>
          <w:lang w:val="en-US" w:eastAsia="zh-CN"/>
        </w:rPr>
      </w:pPr>
      <w:bookmarkStart w:id="198" w:name="_Toc1699359196"/>
      <w:bookmarkStart w:id="199" w:name="_Toc4300"/>
      <w:r>
        <w:rPr>
          <w:rFonts w:hint="default" w:ascii="Times New Roman" w:hAnsi="Times New Roman" w:cs="Times New Roman"/>
          <w:color w:val="auto"/>
          <w:lang w:val="en-US" w:eastAsia="zh-CN"/>
        </w:rPr>
        <w:t>（二）强化文艺赋美乡村</w:t>
      </w:r>
      <w:bookmarkEnd w:id="198"/>
      <w:bookmarkEnd w:id="199"/>
    </w:p>
    <w:p w14:paraId="558C0F29">
      <w:pPr>
        <w:pageBreakBefore w:val="0"/>
        <w:wordWrap/>
        <w:overflowPunct/>
        <w:topLinePunct w:val="0"/>
        <w:bidi w:val="0"/>
        <w:ind w:left="0" w:leftChars="0"/>
        <w:rPr>
          <w:rFonts w:hint="default" w:ascii="Times New Roman" w:hAnsi="Times New Roman" w:cs="Times New Roman"/>
          <w:color w:val="auto"/>
          <w:lang w:val="en-US" w:eastAsia="zh-CN"/>
        </w:rPr>
      </w:pPr>
      <w:r>
        <w:rPr>
          <w:rFonts w:hint="default" w:ascii="Times New Roman" w:hAnsi="Times New Roman" w:cs="Times New Roman"/>
          <w:color w:val="auto"/>
        </w:rPr>
        <w:t>坚持</w:t>
      </w:r>
      <w:r>
        <w:rPr>
          <w:rFonts w:hint="default" w:ascii="Times New Roman" w:hAnsi="Times New Roman" w:cs="Times New Roman"/>
          <w:color w:val="auto"/>
          <w:lang w:eastAsia="zh-CN"/>
        </w:rPr>
        <w:t>因地制宜、</w:t>
      </w:r>
      <w:r>
        <w:rPr>
          <w:rFonts w:hint="default" w:ascii="Times New Roman" w:hAnsi="Times New Roman" w:cs="Times New Roman"/>
          <w:color w:val="auto"/>
        </w:rPr>
        <w:t>稳中求进，坚持公益属性、共建共享，以文铸魂、以艺赋美，完善公共文化服务体系，用好乡村文化空间，</w:t>
      </w:r>
      <w:r>
        <w:rPr>
          <w:rFonts w:hint="eastAsia" w:ascii="Times New Roman" w:hAnsi="Times New Roman" w:eastAsia="仿宋_GB2312" w:cs="仿宋_GB2312"/>
          <w:color w:val="auto"/>
          <w:sz w:val="32"/>
          <w:szCs w:val="32"/>
        </w:rPr>
        <w:t>进一步下移重心、下沉资源，创新建立系列“家门口”优质文化资源直达共享机制，努力实现优质文化资源均衡可及</w:t>
      </w:r>
      <w:r>
        <w:rPr>
          <w:rFonts w:hint="eastAsia" w:ascii="Times New Roman" w:hAnsi="Times New Roman" w:cs="仿宋_GB2312"/>
          <w:color w:val="auto"/>
          <w:sz w:val="32"/>
          <w:szCs w:val="32"/>
          <w:lang w:eastAsia="zh-CN"/>
        </w:rPr>
        <w:t>，</w:t>
      </w:r>
      <w:r>
        <w:rPr>
          <w:rFonts w:hint="eastAsia" w:ascii="Times New Roman" w:hAnsi="Times New Roman" w:eastAsia="仿宋_GB2312" w:cs="仿宋_GB2312"/>
          <w:color w:val="auto"/>
          <w:sz w:val="32"/>
          <w:szCs w:val="32"/>
        </w:rPr>
        <w:t>引导江苏省江海博物馆等场馆更多运用数字科技手段，通过“云端”“指尖”把优质文化资源放大。</w:t>
      </w:r>
      <w:r>
        <w:rPr>
          <w:rFonts w:hint="default" w:ascii="Times New Roman" w:hAnsi="Times New Roman" w:cs="Times New Roman"/>
          <w:color w:val="auto"/>
        </w:rPr>
        <w:t>组织创作农民群众喜闻乐见的文艺作品，开展农民群众乐于参与、便于参与的文艺服务，支持农民群众自主开展文体活动，推动优质文化资源直达基层，更好满足农民群众精神文化需求，壮大乡村文化人才队伍，激活乡村文化内生动力，促进乡村文化事业和文化产业繁荣发展，为农业强</w:t>
      </w:r>
      <w:r>
        <w:rPr>
          <w:rFonts w:hint="default" w:ascii="Times New Roman" w:hAnsi="Times New Roman" w:cs="Times New Roman"/>
          <w:color w:val="auto"/>
          <w:lang w:val="en-US" w:eastAsia="zh-CN"/>
        </w:rPr>
        <w:t>区</w:t>
      </w:r>
      <w:r>
        <w:rPr>
          <w:rFonts w:hint="default" w:ascii="Times New Roman" w:hAnsi="Times New Roman" w:cs="Times New Roman"/>
          <w:color w:val="auto"/>
        </w:rPr>
        <w:t>建设提供精神力量和文化支撑。</w:t>
      </w:r>
    </w:p>
    <w:p w14:paraId="6FE474E3">
      <w:pPr>
        <w:pStyle w:val="4"/>
        <w:bidi w:val="0"/>
        <w:rPr>
          <w:rFonts w:hint="default" w:ascii="Times New Roman" w:hAnsi="Times New Roman"/>
          <w:color w:val="auto"/>
          <w:lang w:val="en-US" w:eastAsia="zh-CN"/>
        </w:rPr>
      </w:pPr>
      <w:bookmarkStart w:id="200" w:name="_Toc31485"/>
      <w:r>
        <w:rPr>
          <w:rFonts w:hint="default" w:ascii="Times New Roman" w:hAnsi="Times New Roman"/>
          <w:color w:val="auto"/>
          <w:lang w:val="en-US" w:eastAsia="zh-CN"/>
        </w:rPr>
        <w:t>（三）厚植乡村文化底蕴</w:t>
      </w:r>
      <w:bookmarkEnd w:id="200"/>
    </w:p>
    <w:p w14:paraId="12DED1C5">
      <w:pPr>
        <w:bidi w:val="0"/>
        <w:rPr>
          <w:rFonts w:hint="default" w:ascii="Times New Roman" w:hAnsi="Times New Roman"/>
          <w:color w:val="auto"/>
          <w:lang w:val="en-US" w:eastAsia="zh-CN"/>
        </w:rPr>
      </w:pPr>
      <w:r>
        <w:rPr>
          <w:rFonts w:hint="default" w:ascii="Times New Roman" w:hAnsi="Times New Roman"/>
          <w:color w:val="auto"/>
          <w:lang w:val="en-US" w:eastAsia="zh-CN"/>
        </w:rPr>
        <w:t>提升公共文化服务设施建设水平，巩固基层综合文化服务中心建成率全省第一的成果，着力在功能发挥、培育典型上更下功夫</w:t>
      </w:r>
      <w:r>
        <w:rPr>
          <w:rFonts w:hint="eastAsia" w:ascii="Times New Roman" w:hAnsi="Times New Roman"/>
          <w:color w:val="auto"/>
          <w:lang w:val="en-US" w:eastAsia="zh-CN"/>
        </w:rPr>
        <w:t>。</w:t>
      </w:r>
      <w:r>
        <w:rPr>
          <w:rFonts w:hint="default" w:ascii="Times New Roman" w:hAnsi="Times New Roman"/>
          <w:color w:val="auto"/>
          <w:lang w:val="en-US" w:eastAsia="zh-CN"/>
        </w:rPr>
        <w:t>深入挖掘乡村历史文化资源，加强武进士故居、张氏宅园旧址等文保单位修缮保护，积极遴选申报南通市级以上文保单位，推动常乐镇、余东古镇等打造“文化味”与“烟火气”并存的历史文化街区。提升非遗系统性保护水平，重点培育海门山歌等市级以上非遗项目及传承人，常态化开展非遗“六进”活动，拓宽活态传承渠道。健全优质公共文化资源直达基层机制，持续推进“送戏下乡”“四季村晚”等项目，精心组织“江海之春”“江海大舞台”等群众文化活动，让百姓在家门口享受文旅盛宴</w:t>
      </w:r>
      <w:r>
        <w:rPr>
          <w:rFonts w:hint="eastAsia" w:ascii="Times New Roman" w:hAnsi="Times New Roman"/>
          <w:color w:val="auto"/>
          <w:lang w:val="en-US" w:eastAsia="zh-CN"/>
        </w:rPr>
        <w:t>，</w:t>
      </w:r>
      <w:r>
        <w:rPr>
          <w:rFonts w:hint="eastAsia" w:ascii="Times New Roman" w:hAnsi="Times New Roman" w:eastAsia="仿宋_GB2312" w:cs="仿宋_GB2312"/>
          <w:color w:val="auto"/>
          <w:sz w:val="32"/>
          <w:szCs w:val="32"/>
        </w:rPr>
        <w:t>“十五五”期间</w:t>
      </w:r>
      <w:r>
        <w:rPr>
          <w:rFonts w:hint="default" w:ascii="Times New Roman" w:hAnsi="Times New Roman"/>
          <w:color w:val="auto"/>
          <w:lang w:val="en-US" w:eastAsia="zh-CN"/>
        </w:rPr>
        <w:t>每年完成送戏300场、送书1万册、送展览50次、送培训2万人次。</w:t>
      </w:r>
    </w:p>
    <w:p w14:paraId="392835EA">
      <w:pPr>
        <w:rPr>
          <w:rFonts w:hint="default" w:ascii="Times New Roman" w:hAnsi="Times New Roman" w:cs="Times New Roman"/>
          <w:color w:val="auto"/>
          <w:lang w:val="en-US" w:eastAsia="zh-CN"/>
        </w:rPr>
      </w:pPr>
    </w:p>
    <w:p w14:paraId="66D4CD42">
      <w:pPr>
        <w:rPr>
          <w:rFonts w:hint="default" w:ascii="Times New Roman" w:hAnsi="Times New Roman" w:cs="Times New Roman"/>
          <w:color w:val="auto"/>
          <w:lang w:val="en-US" w:eastAsia="zh-CN"/>
        </w:rPr>
      </w:pPr>
    </w:p>
    <w:p w14:paraId="30E773AB">
      <w:pPr>
        <w:rPr>
          <w:rFonts w:hint="default" w:ascii="Times New Roman" w:hAnsi="Times New Roman" w:cs="Times New Roman"/>
          <w:color w:val="auto"/>
          <w:lang w:val="en-US" w:eastAsia="zh-CN"/>
        </w:rPr>
        <w:sectPr>
          <w:footnotePr>
            <w:numFmt w:val="decimalEnclosedCircleChinese"/>
            <w:numRestart w:val="eachPage"/>
          </w:footnotePr>
          <w:pgSz w:w="11906" w:h="16838"/>
          <w:pgMar w:top="2098" w:right="1474" w:bottom="1984" w:left="1587" w:header="510" w:footer="1474" w:gutter="0"/>
          <w:pgNumType w:fmt="decimal"/>
          <w:cols w:space="0" w:num="1"/>
          <w:rtlGutter w:val="0"/>
          <w:docGrid w:type="lines" w:linePitch="326" w:charSpace="0"/>
        </w:sectPr>
      </w:pPr>
    </w:p>
    <w:p w14:paraId="0F7024F3">
      <w:pPr>
        <w:pStyle w:val="2"/>
        <w:pageBreakBefore w:val="0"/>
        <w:wordWrap/>
        <w:overflowPunct/>
        <w:topLinePunct w:val="0"/>
        <w:bidi w:val="0"/>
        <w:spacing w:before="0" w:beforeLines="0" w:after="0" w:afterLines="0"/>
        <w:ind w:left="0" w:leftChars="0"/>
        <w:jc w:val="center"/>
        <w:rPr>
          <w:rFonts w:hint="default" w:ascii="Times New Roman" w:hAnsi="Times New Roman" w:eastAsia="黑体" w:cs="Times New Roman"/>
          <w:color w:val="auto"/>
          <w:lang w:eastAsia="zh-CN"/>
        </w:rPr>
      </w:pPr>
      <w:bookmarkStart w:id="201" w:name="_Toc15674"/>
      <w:r>
        <w:rPr>
          <w:rFonts w:hint="default" w:ascii="Times New Roman" w:hAnsi="Times New Roman" w:eastAsia="黑体" w:cs="Times New Roman"/>
          <w:color w:val="auto"/>
        </w:rPr>
        <w:t xml:space="preserve">第四章 </w:t>
      </w:r>
      <w:r>
        <w:rPr>
          <w:rFonts w:hint="default" w:ascii="Times New Roman" w:hAnsi="Times New Roman" w:eastAsia="黑体" w:cs="Times New Roman"/>
          <w:color w:val="auto"/>
          <w:lang w:eastAsia="zh-CN"/>
        </w:rPr>
        <w:t>促进农民持续增收</w:t>
      </w:r>
      <w:r>
        <w:rPr>
          <w:rFonts w:hint="default" w:ascii="Times New Roman" w:hAnsi="Times New Roman" w:eastAsia="黑体" w:cs="Times New Roman"/>
          <w:color w:val="auto"/>
        </w:rPr>
        <w:t xml:space="preserve"> 实现</w:t>
      </w:r>
      <w:r>
        <w:rPr>
          <w:rFonts w:hint="default" w:ascii="Times New Roman" w:hAnsi="Times New Roman" w:eastAsia="黑体" w:cs="Times New Roman"/>
          <w:color w:val="auto"/>
          <w:lang w:eastAsia="zh-CN"/>
        </w:rPr>
        <w:t>“</w:t>
      </w:r>
      <w:r>
        <w:rPr>
          <w:rFonts w:hint="default" w:ascii="Times New Roman" w:hAnsi="Times New Roman" w:eastAsia="黑体" w:cs="Times New Roman"/>
          <w:color w:val="auto"/>
        </w:rPr>
        <w:t>农民</w:t>
      </w:r>
      <w:r>
        <w:rPr>
          <w:rFonts w:hint="default" w:ascii="Times New Roman" w:hAnsi="Times New Roman" w:eastAsia="黑体" w:cs="Times New Roman"/>
          <w:color w:val="auto"/>
          <w:lang w:eastAsia="zh-CN"/>
        </w:rPr>
        <w:t>更</w:t>
      </w:r>
      <w:r>
        <w:rPr>
          <w:rFonts w:hint="default" w:ascii="Times New Roman" w:hAnsi="Times New Roman" w:eastAsia="黑体" w:cs="Times New Roman"/>
          <w:color w:val="auto"/>
        </w:rPr>
        <w:t>富</w:t>
      </w:r>
      <w:r>
        <w:rPr>
          <w:rFonts w:hint="default" w:ascii="Times New Roman" w:hAnsi="Times New Roman" w:eastAsia="黑体" w:cs="Times New Roman"/>
          <w:color w:val="auto"/>
          <w:lang w:eastAsia="zh-CN"/>
        </w:rPr>
        <w:t>”</w:t>
      </w:r>
      <w:bookmarkEnd w:id="181"/>
      <w:bookmarkEnd w:id="201"/>
    </w:p>
    <w:p w14:paraId="3FD378AE">
      <w:pPr>
        <w:pageBreakBefore w:val="0"/>
        <w:wordWrap/>
        <w:overflowPunct/>
        <w:topLinePunct w:val="0"/>
        <w:bidi w:val="0"/>
        <w:ind w:left="0" w:leftChars="0"/>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sz w:val="32"/>
          <w:szCs w:val="24"/>
          <w:lang w:val="en-US" w:eastAsia="zh-CN" w:bidi="ar-SA"/>
        </w:rPr>
        <w:t>“十五五”期间</w:t>
      </w:r>
      <w:r>
        <w:rPr>
          <w:rFonts w:hint="default" w:ascii="Times New Roman" w:hAnsi="Times New Roman" w:cs="Times New Roman"/>
          <w:color w:val="auto"/>
          <w:sz w:val="32"/>
          <w:szCs w:val="24"/>
          <w:lang w:val="en-US" w:eastAsia="zh-CN" w:bidi="ar-SA"/>
        </w:rPr>
        <w:t>拓宽农民增收渠道，发展集体经济，</w:t>
      </w:r>
      <w:r>
        <w:rPr>
          <w:rFonts w:hint="default" w:ascii="Times New Roman" w:hAnsi="Times New Roman" w:eastAsia="仿宋_GB2312" w:cs="Times New Roman"/>
          <w:color w:val="auto"/>
          <w:sz w:val="32"/>
          <w:szCs w:val="24"/>
          <w:lang w:val="en-US" w:eastAsia="zh-CN" w:bidi="ar-SA"/>
        </w:rPr>
        <w:t>农村居民人均可支配收入力争与</w:t>
      </w:r>
      <w:r>
        <w:rPr>
          <w:rFonts w:hint="default" w:ascii="Times New Roman" w:hAnsi="Times New Roman" w:cs="Times New Roman"/>
          <w:color w:val="auto"/>
          <w:sz w:val="32"/>
          <w:szCs w:val="24"/>
          <w:lang w:val="en-US" w:eastAsia="zh-CN" w:bidi="ar-SA"/>
        </w:rPr>
        <w:t>全区</w:t>
      </w:r>
      <w:r>
        <w:rPr>
          <w:rFonts w:hint="default" w:ascii="Times New Roman" w:hAnsi="Times New Roman" w:eastAsia="仿宋_GB2312" w:cs="Times New Roman"/>
          <w:color w:val="auto"/>
          <w:sz w:val="32"/>
          <w:szCs w:val="24"/>
          <w:lang w:val="en-US" w:eastAsia="zh-CN" w:bidi="ar-SA"/>
        </w:rPr>
        <w:t>经济增长同步，农户家庭的恩格尔系数下降至28%</w:t>
      </w:r>
      <w:r>
        <w:rPr>
          <w:rFonts w:hint="default" w:ascii="Times New Roman" w:hAnsi="Times New Roman" w:cs="Times New Roman"/>
          <w:color w:val="auto"/>
          <w:sz w:val="32"/>
          <w:szCs w:val="24"/>
          <w:lang w:val="en-US" w:eastAsia="zh-CN" w:bidi="ar-SA"/>
        </w:rPr>
        <w:t>；</w:t>
      </w:r>
      <w:r>
        <w:rPr>
          <w:rFonts w:hint="default" w:ascii="Times New Roman" w:hAnsi="Times New Roman" w:cs="Times New Roman"/>
          <w:color w:val="auto"/>
        </w:rPr>
        <w:t>保持主要帮扶政策的总体稳定，继续抓好防止返贫监测，分类落实帮扶措施，完善覆盖农村人口的常态化防止返贫致贫机制，推动帮扶政策体系向推进乡村全面振兴转换</w:t>
      </w:r>
      <w:r>
        <w:rPr>
          <w:rFonts w:hint="default" w:ascii="Times New Roman" w:hAnsi="Times New Roman" w:cs="Times New Roman"/>
          <w:color w:val="auto"/>
          <w:lang w:eastAsia="zh-CN"/>
        </w:rPr>
        <w:t>。</w:t>
      </w:r>
    </w:p>
    <w:p w14:paraId="12DB1D16">
      <w:pPr>
        <w:pStyle w:val="3"/>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rPr>
      </w:pPr>
      <w:bookmarkStart w:id="202" w:name="_Toc2075650330"/>
      <w:bookmarkStart w:id="203" w:name="_Toc853354768"/>
      <w:bookmarkStart w:id="204" w:name="_Toc16648"/>
      <w:r>
        <w:rPr>
          <w:rFonts w:hint="default" w:ascii="Times New Roman" w:hAnsi="Times New Roman" w:cs="Times New Roman"/>
          <w:color w:val="auto"/>
          <w:lang w:val="en-US" w:eastAsia="zh-CN"/>
        </w:rPr>
        <w:t>一、</w:t>
      </w:r>
      <w:bookmarkEnd w:id="202"/>
      <w:r>
        <w:rPr>
          <w:rFonts w:hint="default" w:ascii="Times New Roman" w:hAnsi="Times New Roman" w:cs="Times New Roman"/>
          <w:color w:val="auto"/>
          <w:lang w:eastAsia="zh-CN"/>
        </w:rPr>
        <w:t>持续</w:t>
      </w:r>
      <w:r>
        <w:rPr>
          <w:rFonts w:hint="default" w:ascii="Times New Roman" w:hAnsi="Times New Roman" w:cs="Times New Roman"/>
          <w:color w:val="auto"/>
        </w:rPr>
        <w:t>拓宽农民增收渠道</w:t>
      </w:r>
      <w:bookmarkEnd w:id="203"/>
      <w:bookmarkEnd w:id="204"/>
    </w:p>
    <w:p w14:paraId="07276842">
      <w:pPr>
        <w:bidi w:val="0"/>
        <w:rPr>
          <w:rFonts w:hint="default" w:ascii="Times New Roman" w:hAnsi="Times New Roman" w:cs="Times New Roman"/>
          <w:color w:val="auto"/>
          <w:lang w:val="en-US" w:eastAsia="zh-CN"/>
        </w:rPr>
      </w:pPr>
      <w:bookmarkStart w:id="205" w:name="_Toc553559300"/>
      <w:bookmarkStart w:id="206" w:name="_Toc56973137"/>
      <w:bookmarkStart w:id="207" w:name="_Toc1401362655"/>
      <w:r>
        <w:rPr>
          <w:rFonts w:hint="default" w:ascii="Times New Roman" w:hAnsi="Times New Roman" w:cs="Times New Roman"/>
          <w:color w:val="auto"/>
          <w:lang w:val="en-US" w:eastAsia="zh-CN"/>
        </w:rPr>
        <w:t>拓宽农民增收渠道是实现共同富裕、加快农业农村现代化、推进乡村全面振兴的核心任务。“十五五”期间继续实施“农民收入十年倍增计划”，全面落实强农惠农富农政策，多要素激发农民增收活力，让产业增值收益更多留在农村、留给农民，全方位健全农民增收长效机制，不断拓宽农民增收渠道。</w:t>
      </w:r>
      <w:bookmarkEnd w:id="205"/>
      <w:bookmarkEnd w:id="206"/>
    </w:p>
    <w:p w14:paraId="7B49227B">
      <w:pPr>
        <w:pStyle w:val="4"/>
        <w:pageBreakBefore w:val="0"/>
        <w:wordWrap/>
        <w:overflowPunct/>
        <w:topLinePunct w:val="0"/>
        <w:bidi w:val="0"/>
        <w:ind w:left="0" w:leftChars="0"/>
        <w:rPr>
          <w:rFonts w:hint="default" w:ascii="Times New Roman" w:hAnsi="Times New Roman" w:cs="Times New Roman"/>
          <w:color w:val="auto"/>
        </w:rPr>
      </w:pPr>
      <w:bookmarkStart w:id="208" w:name="_Toc12096"/>
      <w:bookmarkStart w:id="209" w:name="_Toc1437791110"/>
      <w:r>
        <w:rPr>
          <w:rFonts w:hint="default" w:ascii="Times New Roman" w:hAnsi="Times New Roman" w:cs="Times New Roman"/>
          <w:color w:val="auto"/>
          <w:lang w:eastAsia="zh-CN"/>
        </w:rPr>
        <w:t>（一）</w:t>
      </w:r>
      <w:r>
        <w:rPr>
          <w:rFonts w:hint="default" w:ascii="Times New Roman" w:hAnsi="Times New Roman" w:cs="Times New Roman"/>
          <w:color w:val="auto"/>
        </w:rPr>
        <w:t>创新联农带农机制</w:t>
      </w:r>
      <w:bookmarkEnd w:id="208"/>
      <w:bookmarkEnd w:id="209"/>
    </w:p>
    <w:p w14:paraId="0A2AFE86">
      <w:pPr>
        <w:pageBreakBefore w:val="0"/>
        <w:wordWrap/>
        <w:overflowPunct/>
        <w:topLinePunct w:val="0"/>
        <w:bidi w:val="0"/>
        <w:ind w:left="0" w:leftChars="0"/>
        <w:rPr>
          <w:rFonts w:hint="default" w:ascii="Times New Roman" w:hAnsi="Times New Roman" w:cs="Times New Roman"/>
          <w:color w:val="auto"/>
        </w:rPr>
      </w:pPr>
      <w:bookmarkStart w:id="210" w:name="_Toc208295325"/>
      <w:r>
        <w:rPr>
          <w:rFonts w:hint="default" w:ascii="Times New Roman" w:hAnsi="Times New Roman" w:cs="Times New Roman"/>
          <w:color w:val="auto"/>
        </w:rPr>
        <w:t>创新就业创业、产权入股收益分红、产销对接农业增效、村企联建强村富民、土地流转资源增值等联农带农机制。推动新型农业经营主体运用相关扶持政策，引导通过订单收购、保底分红、二次返利、股份合作等形式，与农户增收挂钩，优化利益联结机制，带动农民持续增收。探索形成“农文旅融合促增收”“高效农业带就业”“村企联建发展特色产业”</w:t>
      </w:r>
      <w:r>
        <w:rPr>
          <w:rFonts w:hint="default" w:ascii="Times New Roman" w:hAnsi="Times New Roman" w:cs="Times New Roman"/>
          <w:color w:val="auto"/>
          <w:lang w:eastAsia="zh-CN"/>
        </w:rPr>
        <w:t>“党</w:t>
      </w:r>
      <w:r>
        <w:rPr>
          <w:rFonts w:hint="default" w:ascii="Times New Roman" w:hAnsi="Times New Roman" w:cs="Times New Roman"/>
          <w:color w:val="auto"/>
        </w:rPr>
        <w:t>支部+合作农场+集体经营”等模式；建立“产业联盟+龙头企业+家庭农场/农户”“龙头企业/合作社+家庭农场/农户”“龙头企业/合作社+村集体+家庭农场/农户”等联农带农利益联结机制，促进农民收入稳定增长。</w:t>
      </w:r>
      <w:bookmarkEnd w:id="210"/>
      <w:r>
        <w:rPr>
          <w:rFonts w:hint="default" w:ascii="Times New Roman" w:hAnsi="Times New Roman" w:cs="Times New Roman"/>
          <w:color w:val="auto"/>
          <w:lang w:eastAsia="zh-CN"/>
        </w:rPr>
        <w:t>健全产业发展联农带农机制，多渠道增加农民收入，因地制宜壮大村集体经济。</w:t>
      </w:r>
    </w:p>
    <w:p w14:paraId="38544474">
      <w:pPr>
        <w:pStyle w:val="4"/>
        <w:pageBreakBefore w:val="0"/>
        <w:wordWrap/>
        <w:overflowPunct/>
        <w:topLinePunct w:val="0"/>
        <w:bidi w:val="0"/>
        <w:ind w:left="0" w:leftChars="0"/>
        <w:rPr>
          <w:rFonts w:hint="default" w:ascii="Times New Roman" w:hAnsi="Times New Roman" w:cs="Times New Roman"/>
          <w:color w:val="auto"/>
        </w:rPr>
      </w:pPr>
      <w:bookmarkStart w:id="211" w:name="_Toc11296"/>
      <w:bookmarkStart w:id="212" w:name="_Toc1469189726"/>
      <w:r>
        <w:rPr>
          <w:rFonts w:hint="default" w:ascii="Times New Roman" w:hAnsi="Times New Roman" w:cs="Times New Roman"/>
          <w:color w:val="auto"/>
        </w:rPr>
        <w:t>（二）提高农民就业创业质量</w:t>
      </w:r>
      <w:bookmarkEnd w:id="207"/>
      <w:bookmarkEnd w:id="211"/>
      <w:bookmarkEnd w:id="212"/>
      <w:bookmarkStart w:id="213" w:name="_Toc1248985936"/>
    </w:p>
    <w:p w14:paraId="18BB7E33">
      <w:pPr>
        <w:bidi w:val="0"/>
        <w:rPr>
          <w:rFonts w:hint="default" w:ascii="Times New Roman" w:hAnsi="Times New Roman" w:cs="Times New Roman"/>
          <w:b w:val="0"/>
          <w:bCs/>
          <w:color w:val="auto"/>
        </w:rPr>
      </w:pPr>
      <w:bookmarkStart w:id="214" w:name="_Toc669310096"/>
      <w:r>
        <w:rPr>
          <w:rFonts w:hint="default" w:ascii="Times New Roman" w:hAnsi="Times New Roman" w:cs="Times New Roman"/>
          <w:b/>
          <w:bCs/>
          <w:color w:val="auto"/>
        </w:rPr>
        <w:t>推动农民高质量就业</w:t>
      </w:r>
      <w:bookmarkEnd w:id="213"/>
      <w:bookmarkEnd w:id="214"/>
      <w:r>
        <w:rPr>
          <w:rFonts w:hint="default" w:ascii="Times New Roman" w:hAnsi="Times New Roman" w:cs="Times New Roman"/>
          <w:b/>
          <w:bCs/>
          <w:color w:val="auto"/>
          <w:lang w:eastAsia="zh-CN"/>
        </w:rPr>
        <w:t>。</w:t>
      </w:r>
      <w:r>
        <w:rPr>
          <w:rFonts w:hint="default" w:ascii="Times New Roman" w:hAnsi="Times New Roman" w:cs="Times New Roman"/>
          <w:b w:val="0"/>
          <w:bCs/>
          <w:color w:val="auto"/>
        </w:rPr>
        <w:t>完善就业优先政策，健全就业服务体系，进一步提升和推进“家门口”就业服务站建设和功能发挥。</w:t>
      </w:r>
      <w:r>
        <w:rPr>
          <w:rFonts w:hint="default" w:ascii="Times New Roman" w:hAnsi="Times New Roman" w:cs="Times New Roman"/>
          <w:b w:val="0"/>
          <w:bCs/>
          <w:color w:val="auto"/>
          <w:lang w:eastAsia="zh-CN"/>
        </w:rPr>
        <w:t>有序推动区域内农民工就地市民化。</w:t>
      </w:r>
      <w:r>
        <w:rPr>
          <w:rFonts w:hint="default" w:ascii="Times New Roman" w:hAnsi="Times New Roman" w:cs="Times New Roman"/>
          <w:b w:val="0"/>
          <w:bCs/>
          <w:color w:val="auto"/>
        </w:rPr>
        <w:t>利用一体化信息平台大数据</w:t>
      </w:r>
      <w:r>
        <w:rPr>
          <w:rFonts w:hint="default" w:ascii="Times New Roman" w:hAnsi="Times New Roman" w:cs="Times New Roman"/>
          <w:b w:val="0"/>
          <w:bCs/>
          <w:color w:val="auto"/>
          <w:lang w:eastAsia="zh-CN"/>
        </w:rPr>
        <w:t>赋能，发挥</w:t>
      </w:r>
      <w:r>
        <w:rPr>
          <w:rFonts w:hint="default" w:ascii="Times New Roman" w:hAnsi="Times New Roman" w:cs="Times New Roman"/>
          <w:b w:val="0"/>
          <w:bCs/>
          <w:color w:val="auto"/>
        </w:rPr>
        <w:t>劳动保障协理员</w:t>
      </w:r>
      <w:r>
        <w:rPr>
          <w:rFonts w:hint="default" w:ascii="Times New Roman" w:hAnsi="Times New Roman" w:cs="Times New Roman"/>
          <w:b w:val="0"/>
          <w:bCs/>
          <w:color w:val="auto"/>
          <w:lang w:eastAsia="zh-CN"/>
        </w:rPr>
        <w:t>下沉基层一线优势</w:t>
      </w:r>
      <w:r>
        <w:rPr>
          <w:rFonts w:hint="default" w:ascii="Times New Roman" w:hAnsi="Times New Roman" w:cs="Times New Roman"/>
          <w:b w:val="0"/>
          <w:bCs/>
          <w:color w:val="auto"/>
        </w:rPr>
        <w:t>，精准掌握农村劳动力的就业需求和企业岗位信息，实现供需高效对接和匹配。精准搭建就业平台，继续举办各类招聘活动，充分释放就业岗位，推动新增就业。根据产业发展集聚程度，适时推进劳务品牌建设，创造和带动更多就业岗位。</w:t>
      </w:r>
      <w:r>
        <w:rPr>
          <w:rFonts w:hint="default" w:ascii="Times New Roman" w:hAnsi="Times New Roman" w:cs="Times New Roman"/>
          <w:b w:val="0"/>
          <w:bCs/>
          <w:color w:val="auto"/>
          <w:lang w:eastAsia="zh-CN"/>
        </w:rPr>
        <w:t>完善农业转移人口的社会保障，让转移人口在城里“留得下、融得进”，切实</w:t>
      </w:r>
      <w:r>
        <w:rPr>
          <w:rFonts w:hint="default" w:ascii="Times New Roman" w:hAnsi="Times New Roman" w:cs="Times New Roman"/>
          <w:b w:val="0"/>
          <w:bCs/>
          <w:color w:val="auto"/>
        </w:rPr>
        <w:t>保护农民的合法权益，切实增强农民群众的获得感、幸福感、安全感。</w:t>
      </w:r>
    </w:p>
    <w:p w14:paraId="631511D5">
      <w:pPr>
        <w:pageBreakBefore w:val="0"/>
        <w:wordWrap/>
        <w:overflowPunct/>
        <w:topLinePunct w:val="0"/>
        <w:bidi w:val="0"/>
        <w:ind w:left="0" w:leftChars="0"/>
        <w:rPr>
          <w:rFonts w:hint="default" w:ascii="Times New Roman" w:hAnsi="Times New Roman" w:cs="Times New Roman"/>
          <w:color w:val="auto"/>
        </w:rPr>
      </w:pPr>
      <w:bookmarkStart w:id="215" w:name="_Toc53976927"/>
      <w:bookmarkStart w:id="216" w:name="_Toc575440486"/>
      <w:r>
        <w:rPr>
          <w:rFonts w:hint="default" w:ascii="Times New Roman" w:hAnsi="Times New Roman" w:cs="Times New Roman"/>
          <w:b/>
          <w:bCs/>
          <w:color w:val="auto"/>
        </w:rPr>
        <w:t>优化农村创业发展环境</w:t>
      </w:r>
      <w:bookmarkEnd w:id="215"/>
      <w:bookmarkEnd w:id="216"/>
      <w:r>
        <w:rPr>
          <w:rFonts w:hint="default" w:ascii="Times New Roman" w:hAnsi="Times New Roman" w:cs="Times New Roman"/>
          <w:b/>
          <w:bCs/>
          <w:color w:val="auto"/>
          <w:lang w:eastAsia="zh-CN"/>
        </w:rPr>
        <w:t>。</w:t>
      </w:r>
      <w:r>
        <w:rPr>
          <w:rFonts w:hint="default" w:ascii="Times New Roman" w:hAnsi="Times New Roman" w:cs="Times New Roman"/>
          <w:color w:val="auto"/>
          <w:lang w:val="en-US" w:eastAsia="zh-CN"/>
        </w:rPr>
        <w:t>落实好富民创业担保贷款贴息</w:t>
      </w:r>
      <w:r>
        <w:rPr>
          <w:rFonts w:hint="eastAsia" w:ascii="Times New Roman" w:hAnsi="Times New Roman" w:cs="Times New Roman"/>
          <w:color w:val="auto"/>
          <w:lang w:val="en-US" w:eastAsia="zh-CN"/>
        </w:rPr>
        <w:t>等</w:t>
      </w:r>
      <w:r>
        <w:rPr>
          <w:rFonts w:hint="default" w:ascii="Times New Roman" w:hAnsi="Times New Roman" w:cs="Times New Roman"/>
          <w:color w:val="auto"/>
          <w:lang w:val="en-US" w:eastAsia="zh-CN"/>
        </w:rPr>
        <w:t>政策，</w:t>
      </w:r>
      <w:r>
        <w:rPr>
          <w:rFonts w:hint="default" w:ascii="Times New Roman" w:hAnsi="Times New Roman" w:cs="Times New Roman"/>
          <w:color w:val="auto"/>
        </w:rPr>
        <w:t>协同经办银行简化贷款手续；继续推进农业设施确权颁证，开展以农业设施作为抵押物的融资，为农村创业提供金融支持。多部门联合，高效推进个人创业“一件事”，线下“只进一门”，线上“一网通办”，为创业主体提供“一站式”集成服务。在“家门口”就业服务站增设“创业一件事咨询窗口”，提供政策咨询、材料预审等服务，</w:t>
      </w:r>
      <w:r>
        <w:rPr>
          <w:rFonts w:hint="default" w:ascii="Times New Roman" w:hAnsi="Times New Roman" w:cs="Times New Roman"/>
          <w:color w:val="auto"/>
          <w:lang w:val="en-US" w:eastAsia="zh-CN"/>
        </w:rPr>
        <w:t>确保农村创业者在家门口就能办创业事，</w:t>
      </w:r>
      <w:r>
        <w:rPr>
          <w:rFonts w:hint="default" w:ascii="Times New Roman" w:hAnsi="Times New Roman" w:cs="Times New Roman"/>
          <w:color w:val="auto"/>
        </w:rPr>
        <w:t>“十五五”期间支持农民自主创业</w:t>
      </w:r>
      <w:r>
        <w:rPr>
          <w:rFonts w:hint="default" w:ascii="Times New Roman" w:hAnsi="Times New Roman" w:cs="Times New Roman"/>
          <w:color w:val="auto"/>
          <w:lang w:val="en-US"/>
        </w:rPr>
        <w:t>1</w:t>
      </w:r>
      <w:r>
        <w:rPr>
          <w:rFonts w:hint="default" w:ascii="Times New Roman" w:hAnsi="Times New Roman" w:cs="Times New Roman"/>
          <w:color w:val="auto"/>
        </w:rPr>
        <w:t>500人。</w:t>
      </w:r>
    </w:p>
    <w:p w14:paraId="516D2B2E">
      <w:pPr>
        <w:pageBreakBefore w:val="0"/>
        <w:widowControl w:val="0"/>
        <w:kinsoku/>
        <w:wordWrap/>
        <w:overflowPunct/>
        <w:topLinePunct w:val="0"/>
        <w:autoSpaceDE/>
        <w:autoSpaceDN/>
        <w:bidi w:val="0"/>
        <w:adjustRightInd/>
        <w:snapToGrid/>
        <w:spacing w:line="560" w:lineRule="exact"/>
        <w:ind w:left="0" w:leftChars="0"/>
        <w:textAlignment w:val="auto"/>
        <w:rPr>
          <w:rFonts w:hint="default" w:ascii="Times New Roman" w:hAnsi="Times New Roman" w:cs="Times New Roman"/>
          <w:color w:val="auto"/>
        </w:rPr>
      </w:pPr>
      <w:bookmarkStart w:id="217" w:name="_Toc952113055"/>
      <w:bookmarkStart w:id="218" w:name="_Toc1309385761"/>
      <w:r>
        <w:rPr>
          <w:rFonts w:hint="default" w:ascii="Times New Roman" w:hAnsi="Times New Roman" w:cs="Times New Roman"/>
          <w:b/>
          <w:bCs/>
          <w:color w:val="auto"/>
        </w:rPr>
        <w:t>推进农民职业技能</w:t>
      </w:r>
      <w:bookmarkEnd w:id="217"/>
      <w:r>
        <w:rPr>
          <w:rFonts w:hint="default" w:ascii="Times New Roman" w:hAnsi="Times New Roman" w:cs="Times New Roman"/>
          <w:b/>
          <w:bCs/>
          <w:color w:val="auto"/>
        </w:rPr>
        <w:t>提升</w:t>
      </w:r>
      <w:bookmarkEnd w:id="218"/>
      <w:r>
        <w:rPr>
          <w:rFonts w:hint="default" w:ascii="Times New Roman" w:hAnsi="Times New Roman" w:cs="Times New Roman"/>
          <w:b/>
          <w:bCs/>
          <w:color w:val="auto"/>
          <w:lang w:eastAsia="zh-CN"/>
        </w:rPr>
        <w:t>。</w:t>
      </w:r>
      <w:r>
        <w:rPr>
          <w:rFonts w:hint="default" w:ascii="Times New Roman" w:hAnsi="Times New Roman" w:cs="Times New Roman"/>
          <w:color w:val="auto"/>
        </w:rPr>
        <w:t>加大职业技能培训项目的供给，采用线上线下相结合的培训方式，利用网络平台开展理论知识培训，方便农村劳动力随时随地学习。紧扣新业态、新职业等领域的市场需求，开展补贴性职业技能培训。开展巾帼家政服务技能“送教下乡”公益培训和“乡村振兴巾帼行动”就业创业专项培训，帮助妇女就业。支持培训机构加强健康照护、机器人操作员、电商直销等新业态工种培训。加强实践环节的教学，在工厂车间、服务场所等开展现场实操培训，提高农村劳动力的实际操作能力。引入案例教学、模拟教学、项目教学等先进的教学方法，增强培训的趣味性和实效性。建立培训效果评估机制，通过考试考核、实际操作检验、就业创业跟踪等方式，对培训效果进行全面评估，及时调整培训方案，提高培训质量。“十五五”期间培训农民职业技能</w:t>
      </w:r>
      <w:r>
        <w:rPr>
          <w:rFonts w:hint="default" w:ascii="Times New Roman" w:hAnsi="Times New Roman" w:cs="Times New Roman"/>
          <w:color w:val="auto"/>
          <w:lang w:val="en-US"/>
        </w:rPr>
        <w:t>3</w:t>
      </w:r>
      <w:r>
        <w:rPr>
          <w:rFonts w:hint="default" w:ascii="Times New Roman" w:hAnsi="Times New Roman" w:cs="Times New Roman"/>
          <w:color w:val="auto"/>
        </w:rPr>
        <w:t>000人。</w:t>
      </w:r>
      <w:bookmarkStart w:id="219" w:name="_Toc1750526307"/>
      <w:bookmarkStart w:id="220" w:name="_Toc1263461588"/>
      <w:bookmarkStart w:id="221" w:name="_Toc904751676"/>
    </w:p>
    <w:bookmarkEnd w:id="219"/>
    <w:p w14:paraId="7D2B215A">
      <w:pPr>
        <w:pStyle w:val="3"/>
        <w:pageBreakBefore w:val="0"/>
        <w:wordWrap/>
        <w:overflowPunct/>
        <w:topLinePunct w:val="0"/>
        <w:bidi w:val="0"/>
        <w:ind w:left="0" w:leftChars="0"/>
        <w:rPr>
          <w:rFonts w:hint="default" w:ascii="Times New Roman" w:hAnsi="Times New Roman" w:cs="Times New Roman"/>
          <w:color w:val="auto"/>
        </w:rPr>
      </w:pPr>
      <w:bookmarkStart w:id="222" w:name="_Toc407"/>
      <w:r>
        <w:rPr>
          <w:rFonts w:hint="default" w:ascii="Times New Roman" w:hAnsi="Times New Roman" w:cs="Times New Roman"/>
          <w:color w:val="auto"/>
          <w:lang w:val="en-US" w:eastAsia="zh-CN"/>
        </w:rPr>
        <w:t>二、</w:t>
      </w:r>
      <w:bookmarkEnd w:id="220"/>
      <w:bookmarkEnd w:id="221"/>
      <w:bookmarkStart w:id="223" w:name="_Toc1480415938"/>
      <w:bookmarkStart w:id="224" w:name="_Toc1396887241"/>
      <w:r>
        <w:rPr>
          <w:rFonts w:hint="default" w:ascii="Times New Roman" w:hAnsi="Times New Roman" w:cs="Times New Roman"/>
          <w:color w:val="auto"/>
        </w:rPr>
        <w:t>发展壮大新型农村集体经济</w:t>
      </w:r>
      <w:bookmarkEnd w:id="222"/>
    </w:p>
    <w:p w14:paraId="2FC828CD">
      <w:pPr>
        <w:bidi w:val="0"/>
        <w:rPr>
          <w:rFonts w:hint="default" w:ascii="Times New Roman" w:hAnsi="Times New Roman"/>
          <w:color w:val="auto"/>
        </w:rPr>
      </w:pPr>
      <w:r>
        <w:rPr>
          <w:rFonts w:hint="default" w:ascii="Times New Roman" w:hAnsi="Times New Roman"/>
          <w:color w:val="auto"/>
        </w:rPr>
        <w:t>巩固农村集体产权制度改革成果，持续深化农村集体产权制度改革，建立健全分类指导机制，激发村集体持续增收动能，不断提升新型农村集体经济发展质量。</w:t>
      </w:r>
    </w:p>
    <w:p w14:paraId="309E29D1">
      <w:pPr>
        <w:pStyle w:val="4"/>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lang w:val="en-US" w:eastAsia="zh-CN"/>
        </w:rPr>
      </w:pPr>
      <w:bookmarkStart w:id="225" w:name="_Toc29920"/>
      <w:r>
        <w:rPr>
          <w:rFonts w:hint="default" w:ascii="Times New Roman" w:hAnsi="Times New Roman" w:cs="Times New Roman"/>
          <w:color w:val="auto"/>
        </w:rPr>
        <w:t>（一）</w:t>
      </w:r>
      <w:r>
        <w:rPr>
          <w:rFonts w:hint="default" w:ascii="Times New Roman" w:hAnsi="Times New Roman" w:cs="Times New Roman"/>
          <w:color w:val="auto"/>
          <w:lang w:val="en-US" w:eastAsia="zh-CN"/>
        </w:rPr>
        <w:t>强化规范运行</w:t>
      </w:r>
      <w:bookmarkEnd w:id="225"/>
    </w:p>
    <w:p w14:paraId="34B9797F">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健全农村集体经济组织“三会”制度，严格执行重大事项民主决策制度，建立健全长效管理机制，在全面清查集体资产、摸清“家底”基础上，加强农村集体资产登记管理，规范交易行为，确保农村集体资产平台交易“应进必进”。贯彻整治形式主义为基层减负要求，切实减轻村级负担，应由财政承担的支出严禁转嫁给村集体，确保村集体不断增加积累，持续提高发展能力。</w:t>
      </w:r>
    </w:p>
    <w:p w14:paraId="5634BD3C">
      <w:pPr>
        <w:pStyle w:val="4"/>
        <w:pageBreakBefore w:val="0"/>
        <w:wordWrap/>
        <w:overflowPunct/>
        <w:topLinePunct w:val="0"/>
        <w:bidi w:val="0"/>
        <w:ind w:left="0" w:leftChars="0"/>
        <w:rPr>
          <w:rFonts w:hint="default" w:ascii="Times New Roman" w:hAnsi="Times New Roman" w:cs="Times New Roman"/>
          <w:color w:val="auto"/>
        </w:rPr>
      </w:pPr>
      <w:bookmarkStart w:id="226" w:name="_Toc30756"/>
      <w:r>
        <w:rPr>
          <w:rFonts w:hint="default" w:ascii="Times New Roman" w:hAnsi="Times New Roman" w:cs="Times New Roman"/>
          <w:color w:val="auto"/>
        </w:rPr>
        <w:t>（二）强化人才赋能</w:t>
      </w:r>
      <w:bookmarkEnd w:id="226"/>
    </w:p>
    <w:p w14:paraId="13B03847">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进一步加强农村集体经济组织经营管理队伍建设，提升发展能力。持续开展结对帮扶，通过选派优秀机关干部到村任第一书记等方式，让各方人才带着发展思路、项目、资金，更好助力村集体经济发展。聘请专业团队，鼓励具备运营条件的农村集体经济组织探索选聘农村集体经济经理人、乡村运营师等专业经营人才，最大程度发挥集体资产资源效益，推进美丽乡村向美丽经济转变。完善激励措施，健全农村集体经济组织经营管理人员薪酬体系，将经营管理人员薪酬与农村集体经济发展挂钩，激发村干部发展集体经济积极主动性，增强发展内生动力。</w:t>
      </w:r>
    </w:p>
    <w:p w14:paraId="320D067C">
      <w:pPr>
        <w:pStyle w:val="4"/>
        <w:pageBreakBefore w:val="0"/>
        <w:wordWrap/>
        <w:overflowPunct/>
        <w:topLinePunct w:val="0"/>
        <w:bidi w:val="0"/>
        <w:ind w:left="0" w:leftChars="0"/>
        <w:rPr>
          <w:rFonts w:hint="default" w:ascii="Times New Roman" w:hAnsi="Times New Roman" w:cs="Times New Roman"/>
          <w:color w:val="auto"/>
        </w:rPr>
      </w:pPr>
      <w:bookmarkStart w:id="227" w:name="_Toc28268"/>
      <w:r>
        <w:rPr>
          <w:rFonts w:hint="default" w:ascii="Times New Roman" w:hAnsi="Times New Roman" w:cs="Times New Roman"/>
          <w:color w:val="auto"/>
        </w:rPr>
        <w:t>（三）</w:t>
      </w:r>
      <w:bookmarkEnd w:id="223"/>
      <w:bookmarkEnd w:id="224"/>
      <w:r>
        <w:rPr>
          <w:rFonts w:hint="default" w:ascii="Times New Roman" w:hAnsi="Times New Roman" w:cs="Times New Roman"/>
          <w:color w:val="auto"/>
        </w:rPr>
        <w:t>强化政策保障</w:t>
      </w:r>
      <w:bookmarkEnd w:id="227"/>
    </w:p>
    <w:p w14:paraId="15E5EF72">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进一步落实农村集体经济发展各类扶持政策，加强要素保障。充分利用各级乡村振兴发展资金、一事一议奖补资金、高标田建设等资金等各类扶持资金，建好产业发展、辅助配套等项目，确保项目资金投入成为村集体经济发展新的增长点。用好发展留用地政策，为集体经济发展提供空间保障。健全稳定的村级组织运转经费保障制度，提升乡村治理效能。</w:t>
      </w:r>
    </w:p>
    <w:p w14:paraId="724DD225">
      <w:pPr>
        <w:pStyle w:val="3"/>
        <w:bidi w:val="0"/>
        <w:rPr>
          <w:rFonts w:hint="default" w:ascii="Times New Roman" w:hAnsi="Times New Roman" w:cs="Times New Roman"/>
          <w:color w:val="auto"/>
          <w:lang w:val="en-US" w:eastAsia="zh-CN"/>
        </w:rPr>
      </w:pPr>
      <w:bookmarkStart w:id="228" w:name="_Toc180320188"/>
      <w:bookmarkStart w:id="229" w:name="_Toc1293"/>
      <w:bookmarkStart w:id="230" w:name="_Toc1376576719"/>
      <w:r>
        <w:rPr>
          <w:rFonts w:hint="default" w:ascii="Times New Roman" w:hAnsi="Times New Roman" w:cs="Times New Roman"/>
          <w:color w:val="auto"/>
          <w:lang w:val="en-US" w:eastAsia="zh-CN"/>
        </w:rPr>
        <w:t>三、巩固提升农村社会保障水平</w:t>
      </w:r>
      <w:bookmarkEnd w:id="228"/>
      <w:bookmarkEnd w:id="229"/>
      <w:bookmarkEnd w:id="230"/>
    </w:p>
    <w:p w14:paraId="1749C892">
      <w:pPr>
        <w:rPr>
          <w:rFonts w:hint="default" w:ascii="Times New Roman" w:hAnsi="Times New Roman"/>
          <w:color w:val="auto"/>
        </w:rPr>
      </w:pPr>
      <w:r>
        <w:rPr>
          <w:rFonts w:hint="default" w:ascii="Times New Roman" w:hAnsi="Times New Roman"/>
          <w:color w:val="auto"/>
        </w:rPr>
        <w:t>做好集体经济组织被征地农民资格认定，严格落实被征地农民社会保障制度，为社会稳定、国家重点工程、城市建设保驾护航。健全社会保障体系，深入实施全民参保计划，加快完善有利于农民灵活就业和适应新就业形态特点的社会保障制度；逐步提高城乡居民养老保险待遇水平，加快形成城乡居民基本养老保险待遇确定和基础养老金标准正常调整机制。有效落实医保精准扶贫，完善困难群体、高龄独居老人等主动发现和精准帮扶机制。加强和改善对农村残疾人的服务。加强部门联动，织密兜牢基本生活保障底线。</w:t>
      </w:r>
    </w:p>
    <w:p w14:paraId="2D137944">
      <w:pPr>
        <w:pageBreakBefore w:val="0"/>
        <w:numPr>
          <w:ilvl w:val="0"/>
          <w:numId w:val="0"/>
        </w:numPr>
        <w:wordWrap/>
        <w:overflowPunct/>
        <w:topLinePunct w:val="0"/>
        <w:bidi w:val="0"/>
        <w:ind w:left="0" w:leftChars="0" w:firstLine="640" w:firstLineChars="200"/>
        <w:rPr>
          <w:rFonts w:hint="default" w:ascii="Times New Roman" w:hAnsi="Times New Roman" w:cs="Times New Roman"/>
          <w:color w:val="auto"/>
        </w:rPr>
      </w:pPr>
    </w:p>
    <w:p w14:paraId="2D7A1B2D">
      <w:pPr>
        <w:rPr>
          <w:rFonts w:hint="default" w:ascii="Times New Roman" w:hAnsi="Times New Roman" w:cs="Times New Roman"/>
          <w:color w:val="auto"/>
        </w:rPr>
      </w:pPr>
      <w:r>
        <w:rPr>
          <w:rFonts w:hint="default" w:ascii="Times New Roman" w:hAnsi="Times New Roman" w:cs="Times New Roman"/>
          <w:color w:val="auto"/>
        </w:rPr>
        <w:br w:type="page"/>
      </w:r>
    </w:p>
    <w:p w14:paraId="78B7C17D">
      <w:pPr>
        <w:pStyle w:val="2"/>
        <w:pageBreakBefore w:val="0"/>
        <w:wordWrap/>
        <w:overflowPunct/>
        <w:topLinePunct w:val="0"/>
        <w:bidi w:val="0"/>
        <w:spacing w:before="0" w:beforeLines="0" w:after="0" w:afterLines="0"/>
        <w:ind w:left="0" w:leftChars="0"/>
        <w:jc w:val="center"/>
        <w:rPr>
          <w:rFonts w:hint="default" w:ascii="Times New Roman" w:hAnsi="Times New Roman" w:eastAsia="黑体" w:cs="Times New Roman"/>
          <w:color w:val="auto"/>
          <w:lang w:eastAsia="zh-CN"/>
        </w:rPr>
      </w:pPr>
      <w:bookmarkStart w:id="231" w:name="_Toc10162"/>
      <w:bookmarkStart w:id="232" w:name="_Toc787768079"/>
      <w:r>
        <w:rPr>
          <w:rFonts w:hint="default" w:ascii="Times New Roman" w:hAnsi="Times New Roman" w:eastAsia="黑体" w:cs="Times New Roman"/>
          <w:color w:val="auto"/>
          <w:lang w:eastAsia="zh-CN"/>
        </w:rPr>
        <w:t>第</w:t>
      </w:r>
      <w:r>
        <w:rPr>
          <w:rFonts w:hint="default" w:ascii="Times New Roman" w:hAnsi="Times New Roman" w:eastAsia="黑体" w:cs="Times New Roman"/>
          <w:color w:val="auto"/>
        </w:rPr>
        <w:t xml:space="preserve">五章 统筹新型城镇化 </w:t>
      </w:r>
      <w:r>
        <w:rPr>
          <w:rFonts w:hint="default" w:ascii="Times New Roman" w:hAnsi="Times New Roman" w:eastAsia="黑体" w:cs="Times New Roman"/>
          <w:color w:val="auto"/>
          <w:lang w:eastAsia="zh-CN"/>
        </w:rPr>
        <w:t>加快“城乡</w:t>
      </w:r>
      <w:r>
        <w:rPr>
          <w:rFonts w:hint="default" w:ascii="Times New Roman" w:hAnsi="Times New Roman" w:eastAsia="黑体" w:cs="Times New Roman"/>
          <w:color w:val="auto"/>
        </w:rPr>
        <w:t>融合</w:t>
      </w:r>
      <w:r>
        <w:rPr>
          <w:rFonts w:hint="default" w:ascii="Times New Roman" w:hAnsi="Times New Roman" w:eastAsia="黑体" w:cs="Times New Roman"/>
          <w:color w:val="auto"/>
          <w:lang w:eastAsia="zh-CN"/>
        </w:rPr>
        <w:t>”</w:t>
      </w:r>
      <w:bookmarkEnd w:id="231"/>
      <w:bookmarkEnd w:id="232"/>
    </w:p>
    <w:p w14:paraId="4C50AC1F">
      <w:pPr>
        <w:pageBreakBefore w:val="0"/>
        <w:wordWrap/>
        <w:overflowPunct/>
        <w:topLinePunct w:val="0"/>
        <w:bidi w:val="0"/>
        <w:ind w:left="0" w:leftChars="0"/>
        <w:rPr>
          <w:rFonts w:hint="default" w:ascii="Times New Roman" w:hAnsi="Times New Roman" w:cs="Times New Roman"/>
          <w:color w:val="auto"/>
        </w:rPr>
      </w:pPr>
      <w:bookmarkStart w:id="233" w:name="_Toc1744928080"/>
      <w:r>
        <w:rPr>
          <w:rFonts w:hint="default" w:ascii="Times New Roman" w:hAnsi="Times New Roman" w:cs="Times New Roman"/>
          <w:color w:val="auto"/>
          <w:lang w:eastAsia="zh-CN"/>
        </w:rPr>
        <w:t>“</w:t>
      </w:r>
      <w:r>
        <w:rPr>
          <w:rFonts w:hint="default" w:ascii="Times New Roman" w:hAnsi="Times New Roman" w:cs="Times New Roman"/>
          <w:color w:val="auto"/>
        </w:rPr>
        <w:t>区</w:t>
      </w:r>
      <w:r>
        <w:rPr>
          <w:rFonts w:hint="default" w:ascii="Times New Roman" w:hAnsi="Times New Roman" w:cs="Times New Roman"/>
          <w:color w:val="auto"/>
          <w:lang w:eastAsia="zh-CN"/>
        </w:rPr>
        <w:t>”</w:t>
      </w:r>
      <w:r>
        <w:rPr>
          <w:rFonts w:hint="default" w:ascii="Times New Roman" w:hAnsi="Times New Roman" w:cs="Times New Roman"/>
          <w:color w:val="auto"/>
        </w:rPr>
        <w:t>作为城乡联系的桥梁，具有地域范围适中、文化同质性强等优势</w:t>
      </w:r>
      <w:r>
        <w:rPr>
          <w:rFonts w:hint="default" w:ascii="Times New Roman" w:hAnsi="Times New Roman" w:cs="Times New Roman"/>
          <w:color w:val="auto"/>
          <w:lang w:val="en-US" w:eastAsia="zh-CN"/>
        </w:rPr>
        <w:t>。</w:t>
      </w:r>
      <w:r>
        <w:rPr>
          <w:rFonts w:hint="default" w:ascii="Times New Roman" w:hAnsi="Times New Roman" w:cs="Times New Roman"/>
          <w:color w:val="auto"/>
        </w:rPr>
        <w:t>“十五五”期间</w:t>
      </w:r>
      <w:r>
        <w:rPr>
          <w:rFonts w:hint="default" w:ascii="Times New Roman" w:hAnsi="Times New Roman" w:cs="Times New Roman"/>
          <w:color w:val="auto"/>
          <w:lang w:val="en-US" w:eastAsia="zh-CN"/>
        </w:rPr>
        <w:t>全面落实农业农村公共服务优先，</w:t>
      </w:r>
      <w:r>
        <w:rPr>
          <w:rFonts w:hint="default" w:ascii="Times New Roman" w:hAnsi="Times New Roman" w:cs="Times New Roman"/>
          <w:color w:val="auto"/>
        </w:rPr>
        <w:t>统筹新型城镇化和乡村全面振兴，以</w:t>
      </w:r>
      <w:r>
        <w:rPr>
          <w:rFonts w:hint="default" w:ascii="Times New Roman" w:hAnsi="Times New Roman" w:cs="Times New Roman"/>
          <w:color w:val="auto"/>
          <w:lang w:eastAsia="zh-CN"/>
        </w:rPr>
        <w:t>“</w:t>
      </w:r>
      <w:r>
        <w:rPr>
          <w:rFonts w:hint="default" w:ascii="Times New Roman" w:hAnsi="Times New Roman" w:cs="Times New Roman"/>
          <w:color w:val="auto"/>
        </w:rPr>
        <w:t>区</w:t>
      </w:r>
      <w:r>
        <w:rPr>
          <w:rFonts w:hint="default" w:ascii="Times New Roman" w:hAnsi="Times New Roman" w:cs="Times New Roman"/>
          <w:color w:val="auto"/>
          <w:lang w:eastAsia="zh-CN"/>
        </w:rPr>
        <w:t>”</w:t>
      </w:r>
      <w:r>
        <w:rPr>
          <w:rFonts w:hint="default" w:ascii="Times New Roman" w:hAnsi="Times New Roman" w:cs="Times New Roman"/>
          <w:color w:val="auto"/>
        </w:rPr>
        <w:t>为切入点，</w:t>
      </w:r>
      <w:r>
        <w:rPr>
          <w:rFonts w:hint="default" w:ascii="Times New Roman" w:hAnsi="Times New Roman" w:cs="Times New Roman"/>
          <w:color w:val="auto"/>
          <w:lang w:val="en-US" w:eastAsia="zh-CN"/>
        </w:rPr>
        <w:t>实施“城乡融合发展”工程项目，</w:t>
      </w:r>
      <w:r>
        <w:rPr>
          <w:rFonts w:hint="default" w:ascii="Times New Roman" w:hAnsi="Times New Roman" w:cs="Times New Roman"/>
          <w:color w:val="auto"/>
        </w:rPr>
        <w:t>逐步完善城乡融合发展</w:t>
      </w:r>
      <w:r>
        <w:rPr>
          <w:rFonts w:hint="default" w:ascii="Times New Roman" w:hAnsi="Times New Roman" w:cs="Times New Roman"/>
          <w:color w:val="auto"/>
          <w:lang w:val="en-US" w:eastAsia="zh-CN"/>
        </w:rPr>
        <w:t>体制</w:t>
      </w:r>
      <w:r>
        <w:rPr>
          <w:rFonts w:hint="default" w:ascii="Times New Roman" w:hAnsi="Times New Roman" w:cs="Times New Roman"/>
          <w:color w:val="auto"/>
        </w:rPr>
        <w:t>机制，实现</w:t>
      </w:r>
      <w:r>
        <w:rPr>
          <w:rFonts w:hint="default" w:ascii="Times New Roman" w:hAnsi="Times New Roman" w:cs="Times New Roman"/>
          <w:color w:val="auto"/>
          <w:lang w:val="en-US" w:eastAsia="zh-CN"/>
        </w:rPr>
        <w:t>城乡</w:t>
      </w:r>
      <w:r>
        <w:rPr>
          <w:rFonts w:hint="default" w:ascii="Times New Roman" w:hAnsi="Times New Roman" w:cs="Times New Roman"/>
          <w:color w:val="auto"/>
        </w:rPr>
        <w:t>基本融合。</w:t>
      </w:r>
      <w:bookmarkEnd w:id="233"/>
    </w:p>
    <w:p w14:paraId="67FD8E8D">
      <w:pPr>
        <w:pStyle w:val="3"/>
        <w:pageBreakBefore w:val="0"/>
        <w:wordWrap/>
        <w:overflowPunct/>
        <w:topLinePunct w:val="0"/>
        <w:bidi w:val="0"/>
        <w:ind w:left="0" w:leftChars="0"/>
        <w:rPr>
          <w:rFonts w:hint="default" w:ascii="Times New Roman" w:hAnsi="Times New Roman" w:eastAsia="黑体" w:cs="Times New Roman"/>
          <w:color w:val="auto"/>
          <w:lang w:eastAsia="zh-CN"/>
        </w:rPr>
      </w:pPr>
      <w:bookmarkStart w:id="234" w:name="_Toc781419998"/>
      <w:bookmarkStart w:id="235" w:name="_Toc21339"/>
      <w:r>
        <w:rPr>
          <w:rFonts w:hint="default" w:ascii="Times New Roman" w:hAnsi="Times New Roman" w:cs="Times New Roman"/>
          <w:color w:val="auto"/>
        </w:rPr>
        <w:t>一、</w:t>
      </w:r>
      <w:r>
        <w:rPr>
          <w:rFonts w:hint="default" w:ascii="Times New Roman" w:hAnsi="Times New Roman" w:cs="Times New Roman"/>
          <w:color w:val="auto"/>
          <w:lang w:eastAsia="zh-CN"/>
        </w:rPr>
        <w:t>强化</w:t>
      </w:r>
      <w:r>
        <w:rPr>
          <w:rFonts w:hint="default" w:ascii="Times New Roman" w:hAnsi="Times New Roman" w:cs="Times New Roman"/>
          <w:color w:val="auto"/>
        </w:rPr>
        <w:t>城乡融合发展</w:t>
      </w:r>
      <w:r>
        <w:rPr>
          <w:rFonts w:hint="default" w:ascii="Times New Roman" w:hAnsi="Times New Roman" w:cs="Times New Roman"/>
          <w:color w:val="auto"/>
          <w:lang w:eastAsia="zh-CN"/>
        </w:rPr>
        <w:t>关键支撑</w:t>
      </w:r>
      <w:bookmarkEnd w:id="234"/>
      <w:bookmarkEnd w:id="235"/>
    </w:p>
    <w:p w14:paraId="2B6084DB">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lang w:val="en-US" w:eastAsia="zh-CN"/>
        </w:rPr>
        <w:t>以合理布局城乡空间结构为基础、要素流动为突破口、产业协同为动力源、公共服务为压舱石、体制机制为保障网，强化关键支撑，系统推进城乡融合发展，让</w:t>
      </w:r>
      <w:r>
        <w:rPr>
          <w:rFonts w:hint="default" w:ascii="Times New Roman" w:hAnsi="Times New Roman" w:cs="Times New Roman"/>
          <w:color w:val="auto"/>
        </w:rPr>
        <w:t>海门区</w:t>
      </w:r>
      <w:r>
        <w:rPr>
          <w:rFonts w:hint="default" w:ascii="Times New Roman" w:hAnsi="Times New Roman" w:cs="Times New Roman"/>
          <w:color w:val="auto"/>
          <w:lang w:val="en-US" w:eastAsia="zh-CN"/>
        </w:rPr>
        <w:t>在</w:t>
      </w:r>
      <w:r>
        <w:rPr>
          <w:rFonts w:hint="default" w:ascii="Times New Roman" w:hAnsi="Times New Roman" w:cs="Times New Roman"/>
          <w:color w:val="auto"/>
        </w:rPr>
        <w:t>城乡融合发展</w:t>
      </w:r>
      <w:r>
        <w:rPr>
          <w:rFonts w:hint="default" w:ascii="Times New Roman" w:hAnsi="Times New Roman" w:cs="Times New Roman"/>
          <w:color w:val="auto"/>
          <w:lang w:val="en-US" w:eastAsia="zh-CN"/>
        </w:rPr>
        <w:t>方面</w:t>
      </w:r>
      <w:r>
        <w:rPr>
          <w:rFonts w:hint="default" w:ascii="Times New Roman" w:hAnsi="Times New Roman" w:cs="Times New Roman"/>
          <w:color w:val="auto"/>
        </w:rPr>
        <w:t>“走在前做示范”。</w:t>
      </w:r>
    </w:p>
    <w:p w14:paraId="40F9A88B">
      <w:pPr>
        <w:pStyle w:val="4"/>
        <w:pageBreakBefore w:val="0"/>
        <w:numPr>
          <w:ilvl w:val="0"/>
          <w:numId w:val="0"/>
        </w:numPr>
        <w:wordWrap/>
        <w:overflowPunct/>
        <w:topLinePunct w:val="0"/>
        <w:bidi w:val="0"/>
        <w:ind w:left="0" w:leftChars="0" w:firstLine="640" w:firstLineChars="200"/>
        <w:rPr>
          <w:rFonts w:hint="default" w:ascii="Times New Roman" w:hAnsi="Times New Roman" w:cs="Times New Roman"/>
          <w:color w:val="auto"/>
        </w:rPr>
      </w:pPr>
      <w:bookmarkStart w:id="236" w:name="_Toc1775189199"/>
      <w:bookmarkStart w:id="237" w:name="_Toc1463404981"/>
      <w:bookmarkStart w:id="238" w:name="_Toc8"/>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一</w:t>
      </w:r>
      <w:r>
        <w:rPr>
          <w:rFonts w:hint="default" w:ascii="Times New Roman" w:hAnsi="Times New Roman" w:cs="Times New Roman"/>
          <w:color w:val="auto"/>
          <w:lang w:eastAsia="zh-CN"/>
        </w:rPr>
        <w:t>）</w:t>
      </w:r>
      <w:r>
        <w:rPr>
          <w:rFonts w:hint="default" w:ascii="Times New Roman" w:hAnsi="Times New Roman" w:cs="Times New Roman"/>
          <w:color w:val="auto"/>
        </w:rPr>
        <w:t>优化城乡空间布局</w:t>
      </w:r>
      <w:bookmarkEnd w:id="236"/>
      <w:r>
        <w:rPr>
          <w:rFonts w:hint="default" w:ascii="Times New Roman" w:hAnsi="Times New Roman" w:cs="Times New Roman"/>
          <w:color w:val="auto"/>
          <w:lang w:eastAsia="zh-CN"/>
        </w:rPr>
        <w:t>结构</w:t>
      </w:r>
      <w:bookmarkEnd w:id="237"/>
      <w:bookmarkEnd w:id="238"/>
    </w:p>
    <w:p w14:paraId="681DAAFE">
      <w:pPr>
        <w:pageBreakBefore w:val="0"/>
        <w:wordWrap/>
        <w:overflowPunct/>
        <w:topLinePunct w:val="0"/>
        <w:bidi w:val="0"/>
        <w:ind w:left="0" w:leftChars="0"/>
        <w:rPr>
          <w:rFonts w:hint="default" w:ascii="Times New Roman" w:hAnsi="Times New Roman" w:cs="Times New Roman"/>
          <w:color w:val="auto"/>
        </w:rPr>
      </w:pPr>
      <w:bookmarkStart w:id="239" w:name="_Toc614559822"/>
      <w:bookmarkStart w:id="240" w:name="_Toc31484638"/>
      <w:r>
        <w:rPr>
          <w:rFonts w:hint="default" w:ascii="Times New Roman" w:hAnsi="Times New Roman" w:cs="Times New Roman"/>
          <w:b/>
          <w:bCs/>
          <w:color w:val="auto"/>
          <w:lang w:val="en-US" w:eastAsia="zh-CN"/>
        </w:rPr>
        <w:t>持续优化村镇布局</w:t>
      </w:r>
      <w:bookmarkEnd w:id="239"/>
      <w:bookmarkEnd w:id="240"/>
      <w:r>
        <w:rPr>
          <w:rFonts w:hint="default" w:ascii="Times New Roman" w:hAnsi="Times New Roman" w:cs="Times New Roman"/>
          <w:b/>
          <w:bCs/>
          <w:color w:val="auto"/>
          <w:lang w:val="en-US" w:eastAsia="zh-CN"/>
        </w:rPr>
        <w:t>。</w:t>
      </w:r>
      <w:r>
        <w:rPr>
          <w:rFonts w:hint="default" w:ascii="Times New Roman" w:hAnsi="Times New Roman" w:cs="Times New Roman"/>
          <w:color w:val="auto"/>
        </w:rPr>
        <w:t>以国土空间规划为统领，</w:t>
      </w:r>
      <w:r>
        <w:rPr>
          <w:rFonts w:hint="default" w:ascii="Times New Roman" w:hAnsi="Times New Roman" w:cs="Times New Roman"/>
          <w:color w:val="auto"/>
          <w:lang w:val="en-US" w:eastAsia="zh-CN"/>
        </w:rPr>
        <w:t>统筹</w:t>
      </w:r>
      <w:r>
        <w:rPr>
          <w:rFonts w:hint="default" w:ascii="Times New Roman" w:hAnsi="Times New Roman" w:cs="Times New Roman"/>
          <w:color w:val="auto"/>
        </w:rPr>
        <w:t>全域综合整治规划与村庄规划、产业规划等，</w:t>
      </w:r>
      <w:r>
        <w:rPr>
          <w:rFonts w:hint="default" w:ascii="Times New Roman" w:hAnsi="Times New Roman" w:cs="Times New Roman"/>
          <w:color w:val="auto"/>
          <w:lang w:val="en-US" w:eastAsia="zh-CN"/>
        </w:rPr>
        <w:t>构建</w:t>
      </w:r>
      <w:r>
        <w:rPr>
          <w:rFonts w:hint="default" w:ascii="Times New Roman" w:hAnsi="Times New Roman" w:cs="Times New Roman"/>
          <w:color w:val="auto"/>
        </w:rPr>
        <w:t>城乡深度融合</w:t>
      </w:r>
      <w:r>
        <w:rPr>
          <w:rFonts w:hint="default" w:ascii="Times New Roman" w:hAnsi="Times New Roman" w:cs="Times New Roman"/>
          <w:color w:val="auto"/>
          <w:lang w:val="en-US" w:eastAsia="zh-CN"/>
        </w:rPr>
        <w:t>的</w:t>
      </w:r>
      <w:r>
        <w:rPr>
          <w:rFonts w:hint="default" w:ascii="Times New Roman" w:hAnsi="Times New Roman" w:cs="Times New Roman"/>
          <w:color w:val="auto"/>
        </w:rPr>
        <w:t>空间格局</w:t>
      </w:r>
      <w:r>
        <w:rPr>
          <w:rFonts w:hint="default" w:ascii="Times New Roman" w:hAnsi="Times New Roman" w:cs="Times New Roman"/>
          <w:color w:val="auto"/>
          <w:lang w:val="en-US" w:eastAsia="zh-CN"/>
        </w:rPr>
        <w:t>和科学体系</w:t>
      </w:r>
      <w:r>
        <w:rPr>
          <w:rFonts w:hint="default" w:ascii="Times New Roman" w:hAnsi="Times New Roman" w:cs="Times New Roman"/>
          <w:color w:val="auto"/>
          <w:lang w:eastAsia="zh-CN"/>
        </w:rPr>
        <w:t>。</w:t>
      </w:r>
      <w:r>
        <w:rPr>
          <w:rFonts w:hint="default" w:ascii="Times New Roman" w:hAnsi="Times New Roman" w:cs="Times New Roman"/>
          <w:color w:val="auto"/>
        </w:rPr>
        <w:t>明确城镇、农业、生态空间布局，细化主体功能区划分</w:t>
      </w:r>
      <w:r>
        <w:rPr>
          <w:rFonts w:hint="default" w:ascii="Times New Roman" w:hAnsi="Times New Roman" w:cs="Times New Roman"/>
          <w:color w:val="auto"/>
          <w:lang w:eastAsia="zh-CN"/>
        </w:rPr>
        <w:t>，</w:t>
      </w:r>
      <w:r>
        <w:rPr>
          <w:rFonts w:hint="default" w:ascii="Times New Roman" w:hAnsi="Times New Roman" w:cs="Times New Roman"/>
          <w:color w:val="auto"/>
        </w:rPr>
        <w:t>科学划定生态保护红线和永久基本农田、城镇开发边界等控制线，确保整治活动在规划框架内有序开展，强化国土空间规划统筹和城乡生态目标协同。</w:t>
      </w:r>
      <w:r>
        <w:rPr>
          <w:rFonts w:hint="default" w:ascii="Times New Roman" w:hAnsi="Times New Roman" w:cs="Times New Roman"/>
          <w:color w:val="auto"/>
          <w:lang w:val="en-US" w:eastAsia="zh-CN"/>
        </w:rPr>
        <w:t>根据人口流动规律和县域经济发展需求，科学划分村庄类型。</w:t>
      </w:r>
      <w:r>
        <w:rPr>
          <w:rFonts w:hint="default" w:ascii="Times New Roman" w:hAnsi="Times New Roman" w:cs="Times New Roman"/>
          <w:color w:val="auto"/>
        </w:rPr>
        <w:t>在严守底线的前提下，允许根据实际发展需求对整治区域内的空间布局进行适度优化。建立“时空信息+现代农业农村”一张图，集聚地形地貌、建筑布局、土地利用、基础设施分布，为优化乡村规划、合理配置公共资源提供数据支撑。</w:t>
      </w:r>
    </w:p>
    <w:p w14:paraId="0605EB1F">
      <w:pPr>
        <w:pageBreakBefore w:val="0"/>
        <w:wordWrap/>
        <w:overflowPunct/>
        <w:topLinePunct w:val="0"/>
        <w:bidi w:val="0"/>
        <w:ind w:left="0" w:leftChars="0"/>
        <w:rPr>
          <w:rFonts w:hint="default" w:ascii="Times New Roman" w:hAnsi="Times New Roman" w:cs="Times New Roman"/>
          <w:color w:val="auto"/>
        </w:rPr>
      </w:pPr>
      <w:bookmarkStart w:id="241" w:name="_Toc881333704"/>
      <w:bookmarkStart w:id="242" w:name="_Toc666648222"/>
      <w:r>
        <w:rPr>
          <w:rFonts w:hint="default" w:ascii="Times New Roman" w:hAnsi="Times New Roman" w:eastAsia="仿宋_GB2312" w:cs="Times New Roman"/>
          <w:b/>
          <w:bCs w:val="0"/>
          <w:color w:val="auto"/>
          <w:szCs w:val="32"/>
        </w:rPr>
        <w:t>全域土地综合整治</w:t>
      </w:r>
      <w:r>
        <w:rPr>
          <w:rFonts w:hint="default" w:ascii="Times New Roman" w:hAnsi="Times New Roman" w:eastAsia="仿宋_GB2312" w:cs="Times New Roman"/>
          <w:b/>
          <w:bCs w:val="0"/>
          <w:color w:val="auto"/>
          <w:szCs w:val="32"/>
          <w:lang w:eastAsia="zh-CN"/>
        </w:rPr>
        <w:t>。</w:t>
      </w:r>
      <w:r>
        <w:rPr>
          <w:rFonts w:hint="default" w:ascii="Times New Roman" w:hAnsi="Times New Roman" w:eastAsia="仿宋_GB2312" w:cs="Times New Roman"/>
          <w:color w:val="auto"/>
          <w:sz w:val="32"/>
          <w:szCs w:val="32"/>
        </w:rPr>
        <w:t>推行</w:t>
      </w:r>
      <w:r>
        <w:rPr>
          <w:rFonts w:hint="default" w:ascii="Times New Roman" w:hAnsi="Times New Roman" w:cs="Times New Roman"/>
          <w:color w:val="auto"/>
          <w:sz w:val="32"/>
          <w:szCs w:val="32"/>
          <w:lang w:eastAsia="zh-CN"/>
        </w:rPr>
        <w:t>全域土地综合整治</w:t>
      </w:r>
      <w:r>
        <w:rPr>
          <w:rFonts w:hint="default" w:ascii="Times New Roman" w:hAnsi="Times New Roman" w:eastAsia="仿宋_GB2312" w:cs="Times New Roman"/>
          <w:color w:val="auto"/>
          <w:sz w:val="32"/>
          <w:szCs w:val="32"/>
        </w:rPr>
        <w:t>，充分利用废沟废塘，集中连片整治农用地和优化永久基本农田布局，高效利用耕地，全方位提升乡村生产、生活、生态环境，丰富生物多样性；通过多镇联合等多种方式申报</w:t>
      </w:r>
      <w:r>
        <w:rPr>
          <w:rFonts w:hint="default" w:ascii="Times New Roman" w:hAnsi="Times New Roman" w:cs="Times New Roman"/>
          <w:color w:val="auto"/>
          <w:sz w:val="32"/>
          <w:szCs w:val="32"/>
          <w:lang w:val="en-US" w:eastAsia="zh-CN"/>
        </w:rPr>
        <w:t>全域土地综合</w:t>
      </w:r>
      <w:r>
        <w:rPr>
          <w:rFonts w:hint="default" w:ascii="Times New Roman" w:hAnsi="Times New Roman" w:eastAsia="仿宋_GB2312" w:cs="Times New Roman"/>
          <w:color w:val="auto"/>
          <w:sz w:val="32"/>
          <w:szCs w:val="32"/>
        </w:rPr>
        <w:t>整治项目，分步实施，确保全区项目有序落地。“十五五”期间</w:t>
      </w:r>
      <w:r>
        <w:rPr>
          <w:rFonts w:hint="default" w:ascii="Times New Roman" w:hAnsi="Times New Roman" w:cs="Times New Roman"/>
          <w:color w:val="auto"/>
          <w:sz w:val="32"/>
          <w:szCs w:val="32"/>
          <w:lang w:val="en-US" w:eastAsia="zh-CN"/>
        </w:rPr>
        <w:t>在悦来镇和四甲镇展开试点，</w:t>
      </w:r>
      <w:r>
        <w:rPr>
          <w:rFonts w:hint="default" w:ascii="Times New Roman" w:hAnsi="Times New Roman" w:eastAsia="仿宋_GB2312" w:cs="Times New Roman"/>
          <w:color w:val="auto"/>
          <w:sz w:val="32"/>
          <w:szCs w:val="32"/>
        </w:rPr>
        <w:t>继续开展</w:t>
      </w:r>
      <w:r>
        <w:rPr>
          <w:rFonts w:hint="default" w:ascii="Times New Roman" w:hAnsi="Times New Roman" w:cs="Times New Roman"/>
          <w:color w:val="auto"/>
          <w:sz w:val="32"/>
          <w:szCs w:val="32"/>
          <w:lang w:eastAsia="zh-CN"/>
        </w:rPr>
        <w:t>全域土地综合整治</w:t>
      </w:r>
      <w:r>
        <w:rPr>
          <w:rFonts w:hint="default" w:ascii="Times New Roman" w:hAnsi="Times New Roman" w:eastAsia="仿宋_GB2312" w:cs="Times New Roman"/>
          <w:color w:val="auto"/>
          <w:sz w:val="32"/>
          <w:szCs w:val="32"/>
        </w:rPr>
        <w:t>，积极申报，确保全区项目有序落地，力争新增加耕地1.50万亩</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lang w:val="en-US" w:eastAsia="zh-CN"/>
        </w:rPr>
        <w:t>乡村振兴土地要素保障率达到100%</w:t>
      </w:r>
      <w:r>
        <w:rPr>
          <w:rFonts w:hint="default" w:ascii="Times New Roman" w:hAnsi="Times New Roman" w:eastAsia="仿宋_GB2312" w:cs="Times New Roman"/>
          <w:color w:val="auto"/>
          <w:sz w:val="32"/>
          <w:szCs w:val="32"/>
        </w:rPr>
        <w:t>。</w:t>
      </w:r>
    </w:p>
    <w:p w14:paraId="7996F963">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rPr>
        <w:t>合理布局乡村产业用地</w:t>
      </w:r>
      <w:bookmarkEnd w:id="241"/>
      <w:r>
        <w:rPr>
          <w:rFonts w:hint="default" w:ascii="Times New Roman" w:hAnsi="Times New Roman" w:cs="Times New Roman"/>
          <w:b/>
          <w:bCs/>
          <w:color w:val="auto"/>
          <w:lang w:eastAsia="zh-CN"/>
        </w:rPr>
        <w:t>。</w:t>
      </w:r>
      <w:r>
        <w:rPr>
          <w:rFonts w:hint="default" w:ascii="Times New Roman" w:hAnsi="Times New Roman" w:cs="Times New Roman"/>
          <w:color w:val="auto"/>
        </w:rPr>
        <w:t>优化</w:t>
      </w:r>
      <w:r>
        <w:rPr>
          <w:rFonts w:hint="default" w:ascii="Times New Roman" w:hAnsi="Times New Roman" w:cs="Times New Roman"/>
          <w:color w:val="auto"/>
          <w:lang w:val="en-US" w:eastAsia="zh-CN"/>
        </w:rPr>
        <w:t>乡村</w:t>
      </w:r>
      <w:r>
        <w:rPr>
          <w:rFonts w:hint="default" w:ascii="Times New Roman" w:hAnsi="Times New Roman" w:cs="Times New Roman"/>
          <w:color w:val="auto"/>
        </w:rPr>
        <w:t>生产、生活、生态空间布局，统筹安排乡村各类</w:t>
      </w:r>
      <w:r>
        <w:rPr>
          <w:rFonts w:hint="default" w:ascii="Times New Roman" w:hAnsi="Times New Roman" w:cs="Times New Roman"/>
          <w:color w:val="auto"/>
          <w:lang w:val="en-US" w:eastAsia="zh-CN"/>
        </w:rPr>
        <w:t>农用</w:t>
      </w:r>
      <w:r>
        <w:rPr>
          <w:rFonts w:hint="default" w:ascii="Times New Roman" w:hAnsi="Times New Roman" w:cs="Times New Roman"/>
          <w:color w:val="auto"/>
        </w:rPr>
        <w:t>设施和</w:t>
      </w:r>
      <w:r>
        <w:rPr>
          <w:rFonts w:hint="default" w:ascii="Times New Roman" w:hAnsi="Times New Roman" w:cs="Times New Roman"/>
          <w:color w:val="auto"/>
          <w:lang w:val="en-US" w:eastAsia="zh-CN"/>
        </w:rPr>
        <w:t>农业</w:t>
      </w:r>
      <w:r>
        <w:rPr>
          <w:rFonts w:hint="default" w:ascii="Times New Roman" w:hAnsi="Times New Roman" w:cs="Times New Roman"/>
          <w:color w:val="auto"/>
        </w:rPr>
        <w:t>用地规划，加强各类乡村规划的联动与协调，为乡村全面振兴、</w:t>
      </w:r>
      <w:r>
        <w:rPr>
          <w:rFonts w:hint="default" w:ascii="Times New Roman" w:hAnsi="Times New Roman" w:cs="Times New Roman"/>
          <w:color w:val="auto"/>
          <w:lang w:eastAsia="zh-CN"/>
        </w:rPr>
        <w:t>城乡</w:t>
      </w:r>
      <w:r>
        <w:rPr>
          <w:rFonts w:hint="default" w:ascii="Times New Roman" w:hAnsi="Times New Roman" w:cs="Times New Roman"/>
          <w:color w:val="auto"/>
        </w:rPr>
        <w:t>人口集聚、实施乡村建设行动提供空间载体。根据</w:t>
      </w:r>
      <w:r>
        <w:rPr>
          <w:rFonts w:hint="default" w:ascii="Times New Roman" w:hAnsi="Times New Roman" w:cs="Times New Roman"/>
          <w:color w:val="auto"/>
          <w:lang w:val="en-US" w:eastAsia="zh-CN"/>
        </w:rPr>
        <w:t>农业</w:t>
      </w:r>
      <w:r>
        <w:rPr>
          <w:rFonts w:hint="default" w:ascii="Times New Roman" w:hAnsi="Times New Roman" w:cs="Times New Roman"/>
          <w:color w:val="auto"/>
        </w:rPr>
        <w:t>产业发展规律，合理布局城乡产业用地规划，强化农村产业用地保障。</w:t>
      </w:r>
      <w:r>
        <w:rPr>
          <w:rFonts w:hint="default" w:ascii="Times New Roman" w:hAnsi="Times New Roman" w:cs="Times New Roman"/>
          <w:color w:val="auto"/>
          <w:lang w:val="en-US" w:eastAsia="zh-CN"/>
        </w:rPr>
        <w:t>引导具有一定规模的农产品加工业向海门城</w:t>
      </w:r>
      <w:r>
        <w:rPr>
          <w:rFonts w:hint="eastAsia" w:ascii="Times New Roman" w:hAnsi="Times New Roman" w:cs="Times New Roman"/>
          <w:color w:val="auto"/>
          <w:lang w:val="en-US" w:eastAsia="zh-CN"/>
        </w:rPr>
        <w:t>区</w:t>
      </w:r>
      <w:r>
        <w:rPr>
          <w:rFonts w:hint="default" w:ascii="Times New Roman" w:hAnsi="Times New Roman" w:cs="Times New Roman"/>
          <w:color w:val="auto"/>
          <w:lang w:val="en-US" w:eastAsia="zh-CN"/>
        </w:rPr>
        <w:t>，</w:t>
      </w:r>
      <w:r>
        <w:rPr>
          <w:rFonts w:hint="default" w:ascii="Times New Roman" w:hAnsi="Times New Roman" w:cs="Times New Roman"/>
          <w:color w:val="auto"/>
        </w:rPr>
        <w:t>或有条件的区、镇开发边界内集聚，直接服务种植养殖业的农产品加工、电子商务、仓储保鲜冷链、产地低温直销配送等产业</w:t>
      </w:r>
      <w:r>
        <w:rPr>
          <w:rFonts w:hint="default" w:ascii="Times New Roman" w:hAnsi="Times New Roman" w:cs="Times New Roman"/>
          <w:color w:val="auto"/>
          <w:lang w:val="en-US" w:eastAsia="zh-CN"/>
        </w:rPr>
        <w:t>，优先利用村内</w:t>
      </w:r>
      <w:r>
        <w:rPr>
          <w:rFonts w:hint="eastAsia" w:ascii="Times New Roman" w:hAnsi="Times New Roman" w:cs="Times New Roman"/>
          <w:color w:val="auto"/>
          <w:lang w:val="en-US" w:eastAsia="zh-CN"/>
        </w:rPr>
        <w:t>闲置用地</w:t>
      </w:r>
      <w:r>
        <w:rPr>
          <w:rFonts w:hint="default" w:ascii="Times New Roman" w:hAnsi="Times New Roman" w:cs="Times New Roman"/>
          <w:color w:val="auto"/>
          <w:lang w:val="en-US" w:eastAsia="zh-CN"/>
        </w:rPr>
        <w:t>。</w:t>
      </w:r>
      <w:r>
        <w:rPr>
          <w:rFonts w:hint="default" w:ascii="Times New Roman" w:hAnsi="Times New Roman" w:cs="Times New Roman"/>
          <w:color w:val="auto"/>
        </w:rPr>
        <w:t>在乡村产业用地指标竞争性投标评分中，实行亩均效益适当优惠原则，引导农业产业效率提升。</w:t>
      </w:r>
    </w:p>
    <w:p w14:paraId="62135C58">
      <w:pPr>
        <w:pageBreakBefore w:val="0"/>
        <w:wordWrap/>
        <w:overflowPunct/>
        <w:topLinePunct w:val="0"/>
        <w:bidi w:val="0"/>
        <w:ind w:left="0" w:leftChars="0"/>
        <w:rPr>
          <w:rFonts w:hint="default" w:ascii="Times New Roman" w:hAnsi="Times New Roman" w:cs="Times New Roman"/>
          <w:color w:val="auto"/>
        </w:rPr>
      </w:pPr>
      <w:bookmarkStart w:id="243" w:name="_Toc1380849769"/>
      <w:r>
        <w:rPr>
          <w:rFonts w:hint="default" w:ascii="Times New Roman" w:hAnsi="Times New Roman" w:cs="Times New Roman"/>
          <w:b/>
          <w:bCs/>
          <w:color w:val="auto"/>
        </w:rPr>
        <w:t>强化公共服务功能配置</w:t>
      </w:r>
      <w:bookmarkEnd w:id="242"/>
      <w:bookmarkEnd w:id="243"/>
      <w:r>
        <w:rPr>
          <w:rFonts w:hint="default" w:ascii="Times New Roman" w:hAnsi="Times New Roman" w:cs="Times New Roman"/>
          <w:b/>
          <w:bCs/>
          <w:color w:val="auto"/>
          <w:lang w:eastAsia="zh-CN"/>
        </w:rPr>
        <w:t>。</w:t>
      </w:r>
      <w:r>
        <w:rPr>
          <w:rFonts w:hint="default" w:ascii="Times New Roman" w:hAnsi="Times New Roman" w:cs="Times New Roman"/>
          <w:color w:val="auto"/>
        </w:rPr>
        <w:t>根据乡村人口老龄化发展趋势，在乡村功能规划设计上，重点加强乡村公共服务功能，布局便民服务中心、</w:t>
      </w:r>
      <w:r>
        <w:rPr>
          <w:rFonts w:hint="default" w:ascii="Times New Roman" w:hAnsi="Times New Roman" w:cs="Times New Roman"/>
          <w:color w:val="auto"/>
          <w:lang w:val="en-US" w:eastAsia="zh-CN"/>
        </w:rPr>
        <w:t>基层医疗机构</w:t>
      </w:r>
      <w:r>
        <w:rPr>
          <w:rFonts w:hint="default" w:ascii="Times New Roman" w:hAnsi="Times New Roman" w:cs="Times New Roman"/>
          <w:color w:val="auto"/>
        </w:rPr>
        <w:t>、养老中心、康复中心、文体娱乐中心、心理健康辅导室等康体养老基础设施，着力提高镇村道路、公共交通、供水、粪污等污水处理和农村客货邮融</w:t>
      </w:r>
      <w:r>
        <w:rPr>
          <w:rFonts w:hint="default" w:ascii="Times New Roman" w:hAnsi="Times New Roman" w:cs="Times New Roman"/>
          <w:color w:val="auto"/>
          <w:lang w:eastAsia="zh-CN"/>
        </w:rPr>
        <w:t>合等</w:t>
      </w:r>
      <w:r>
        <w:rPr>
          <w:rFonts w:hint="default" w:ascii="Times New Roman" w:hAnsi="Times New Roman" w:cs="Times New Roman"/>
          <w:color w:val="auto"/>
        </w:rPr>
        <w:t>一系列硬性基础设施水平。</w:t>
      </w:r>
    </w:p>
    <w:p w14:paraId="3FE65ACC">
      <w:pPr>
        <w:pStyle w:val="4"/>
        <w:keepNext w:val="0"/>
        <w:keepLines w:val="0"/>
        <w:pageBreakBefore w:val="0"/>
        <w:widowControl w:val="0"/>
        <w:kinsoku/>
        <w:wordWrap/>
        <w:overflowPunct/>
        <w:topLinePunct w:val="0"/>
        <w:autoSpaceDE/>
        <w:autoSpaceDN/>
        <w:bidi w:val="0"/>
        <w:adjustRightInd/>
        <w:snapToGrid/>
        <w:ind w:left="0" w:leftChars="0"/>
        <w:textAlignment w:val="auto"/>
        <w:rPr>
          <w:rFonts w:hint="default" w:ascii="Times New Roman" w:hAnsi="Times New Roman" w:eastAsia="楷体_GB2312" w:cs="Times New Roman"/>
          <w:color w:val="auto"/>
          <w:lang w:eastAsia="zh-CN"/>
        </w:rPr>
      </w:pPr>
      <w:bookmarkStart w:id="244" w:name="_Toc934480755"/>
      <w:bookmarkStart w:id="245" w:name="_Toc317306576"/>
      <w:bookmarkStart w:id="246" w:name="_Toc27575"/>
      <w:r>
        <w:rPr>
          <w:rFonts w:hint="default" w:ascii="Times New Roman" w:hAnsi="Times New Roman" w:cs="Times New Roman"/>
          <w:color w:val="auto"/>
        </w:rPr>
        <w:t>（二）</w:t>
      </w:r>
      <w:bookmarkEnd w:id="244"/>
      <w:r>
        <w:rPr>
          <w:rFonts w:hint="default" w:ascii="Times New Roman" w:hAnsi="Times New Roman" w:cs="Times New Roman"/>
          <w:color w:val="auto"/>
          <w:lang w:eastAsia="zh-CN"/>
        </w:rPr>
        <w:t>发挥区域</w:t>
      </w:r>
      <w:r>
        <w:rPr>
          <w:rFonts w:hint="default" w:ascii="Times New Roman" w:hAnsi="Times New Roman" w:cs="Times New Roman"/>
          <w:color w:val="auto"/>
          <w:lang w:val="en-US" w:eastAsia="zh-CN"/>
        </w:rPr>
        <w:t>城乡</w:t>
      </w:r>
      <w:r>
        <w:rPr>
          <w:rFonts w:hint="default" w:ascii="Times New Roman" w:hAnsi="Times New Roman" w:cs="Times New Roman"/>
          <w:color w:val="auto"/>
          <w:lang w:eastAsia="zh-CN"/>
        </w:rPr>
        <w:t>融合纽带作用</w:t>
      </w:r>
      <w:bookmarkEnd w:id="245"/>
      <w:bookmarkEnd w:id="246"/>
    </w:p>
    <w:p w14:paraId="1408E64D">
      <w:pPr>
        <w:pageBreakBefore w:val="0"/>
        <w:wordWrap/>
        <w:overflowPunct/>
        <w:topLinePunct w:val="0"/>
        <w:bidi w:val="0"/>
        <w:ind w:left="0" w:leftChars="0"/>
        <w:rPr>
          <w:rFonts w:hint="default" w:ascii="Times New Roman" w:hAnsi="Times New Roman" w:cs="Times New Roman"/>
          <w:color w:val="auto"/>
        </w:rPr>
      </w:pPr>
      <w:bookmarkStart w:id="247" w:name="_Toc799426653"/>
      <w:r>
        <w:rPr>
          <w:rFonts w:hint="default" w:ascii="Times New Roman" w:hAnsi="Times New Roman" w:cs="Times New Roman"/>
          <w:b/>
          <w:bCs/>
          <w:color w:val="auto"/>
          <w:lang w:val="en-US" w:eastAsia="zh-CN"/>
        </w:rPr>
        <w:t>健全</w:t>
      </w:r>
      <w:r>
        <w:rPr>
          <w:rFonts w:hint="default" w:ascii="Times New Roman" w:hAnsi="Times New Roman" w:cs="Times New Roman"/>
          <w:b/>
          <w:bCs/>
          <w:color w:val="auto"/>
        </w:rPr>
        <w:t>城乡融合发展的体制机制</w:t>
      </w:r>
      <w:bookmarkEnd w:id="247"/>
      <w:r>
        <w:rPr>
          <w:rFonts w:hint="default" w:ascii="Times New Roman" w:hAnsi="Times New Roman" w:cs="Times New Roman"/>
          <w:b/>
          <w:bCs/>
          <w:color w:val="auto"/>
          <w:lang w:eastAsia="zh-CN"/>
        </w:rPr>
        <w:t>。</w:t>
      </w:r>
      <w:r>
        <w:rPr>
          <w:rFonts w:hint="default" w:ascii="Times New Roman" w:hAnsi="Times New Roman" w:cs="Times New Roman"/>
          <w:color w:val="auto"/>
        </w:rPr>
        <w:t>贯彻落实《深入实施以人为本的新型城镇化战略五年行动计划》文件精神，深化改革破除城乡二元结构，优化配置城乡间人才、土地、资本等要素</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切实增加农民收入，努力改善民生，促进</w:t>
      </w:r>
      <w:r>
        <w:rPr>
          <w:rFonts w:hint="default" w:ascii="Times New Roman" w:hAnsi="Times New Roman" w:cs="Times New Roman"/>
          <w:color w:val="auto"/>
        </w:rPr>
        <w:t>公共服务均衡性和可及性</w:t>
      </w:r>
      <w:r>
        <w:rPr>
          <w:rFonts w:hint="default" w:ascii="Times New Roman" w:hAnsi="Times New Roman" w:cs="Times New Roman"/>
          <w:color w:val="auto"/>
          <w:lang w:eastAsia="zh-CN"/>
        </w:rPr>
        <w:t>，</w:t>
      </w:r>
      <w:r>
        <w:rPr>
          <w:rFonts w:hint="default" w:ascii="Times New Roman" w:hAnsi="Times New Roman" w:cs="Times New Roman"/>
          <w:color w:val="auto"/>
        </w:rPr>
        <w:t>缩小城乡差距</w:t>
      </w:r>
      <w:r>
        <w:rPr>
          <w:rFonts w:hint="default" w:ascii="Times New Roman" w:hAnsi="Times New Roman" w:cs="Times New Roman"/>
          <w:color w:val="auto"/>
          <w:lang w:eastAsia="zh-CN"/>
        </w:rPr>
        <w:t>；</w:t>
      </w:r>
      <w:r>
        <w:rPr>
          <w:rFonts w:hint="default" w:ascii="Times New Roman" w:hAnsi="Times New Roman" w:cs="Times New Roman"/>
          <w:color w:val="auto"/>
        </w:rPr>
        <w:t>策应国家和省城镇化建设要求，增强小城镇的综合承载能力，构建城乡产业协同发展体系</w:t>
      </w:r>
      <w:r>
        <w:rPr>
          <w:rFonts w:hint="default" w:ascii="Times New Roman" w:hAnsi="Times New Roman" w:cs="Times New Roman"/>
          <w:color w:val="auto"/>
          <w:lang w:eastAsia="zh-CN"/>
        </w:rPr>
        <w:t>，</w:t>
      </w:r>
      <w:r>
        <w:rPr>
          <w:rFonts w:hint="default" w:ascii="Times New Roman" w:hAnsi="Times New Roman" w:cs="Times New Roman"/>
          <w:color w:val="auto"/>
        </w:rPr>
        <w:t>促进一二三产业融合，增强县域经济活力</w:t>
      </w:r>
      <w:bookmarkStart w:id="248" w:name="_Toc1234923438"/>
      <w:r>
        <w:rPr>
          <w:rFonts w:hint="default" w:ascii="Times New Roman" w:hAnsi="Times New Roman" w:cs="Times New Roman"/>
          <w:color w:val="auto"/>
        </w:rPr>
        <w:t>。</w:t>
      </w:r>
    </w:p>
    <w:p w14:paraId="0438D61A">
      <w:pPr>
        <w:pageBreakBefore w:val="0"/>
        <w:wordWrap/>
        <w:overflowPunct/>
        <w:topLinePunct w:val="0"/>
        <w:bidi w:val="0"/>
        <w:ind w:left="0" w:leftChars="0"/>
        <w:rPr>
          <w:rFonts w:hint="default" w:ascii="Times New Roman" w:hAnsi="Times New Roman" w:cs="Times New Roman"/>
          <w:color w:val="auto"/>
        </w:rPr>
      </w:pPr>
      <w:bookmarkStart w:id="249" w:name="_Toc1306061339"/>
      <w:r>
        <w:rPr>
          <w:rFonts w:hint="default" w:ascii="Times New Roman" w:hAnsi="Times New Roman" w:cs="Times New Roman"/>
          <w:b/>
          <w:bCs/>
          <w:color w:val="auto"/>
        </w:rPr>
        <w:t>增强城镇的综合承载能力</w:t>
      </w:r>
      <w:bookmarkEnd w:id="248"/>
      <w:bookmarkEnd w:id="249"/>
      <w:r>
        <w:rPr>
          <w:rFonts w:hint="default" w:ascii="Times New Roman" w:hAnsi="Times New Roman" w:cs="Times New Roman"/>
          <w:b/>
          <w:bCs/>
          <w:color w:val="auto"/>
          <w:lang w:eastAsia="zh-CN"/>
        </w:rPr>
        <w:t>。</w:t>
      </w:r>
      <w:r>
        <w:rPr>
          <w:rFonts w:hint="default" w:ascii="Times New Roman" w:hAnsi="Times New Roman" w:cs="Times New Roman"/>
          <w:color w:val="auto"/>
        </w:rPr>
        <w:t>强化新型城镇化建设片区支撑，统筹区域产业、基础设施、公共服务和村落分布等空间布局，建设“省级县域商业体系”，强化综合服务能力，将</w:t>
      </w:r>
      <w:r>
        <w:rPr>
          <w:rFonts w:hint="default" w:ascii="Times New Roman" w:hAnsi="Times New Roman" w:cs="Times New Roman"/>
          <w:color w:val="auto"/>
          <w:lang w:eastAsia="zh-CN"/>
        </w:rPr>
        <w:t>区镇（街道）</w:t>
      </w:r>
      <w:r>
        <w:rPr>
          <w:rFonts w:hint="default" w:ascii="Times New Roman" w:hAnsi="Times New Roman" w:cs="Times New Roman"/>
          <w:color w:val="auto"/>
        </w:rPr>
        <w:t>打造为服务农民的中心，实现</w:t>
      </w:r>
      <w:r>
        <w:rPr>
          <w:rFonts w:hint="default" w:ascii="Times New Roman" w:hAnsi="Times New Roman" w:cs="Times New Roman"/>
          <w:color w:val="auto"/>
          <w:lang w:eastAsia="zh-CN"/>
        </w:rPr>
        <w:t>区镇（街道）</w:t>
      </w:r>
      <w:r>
        <w:rPr>
          <w:rFonts w:hint="default" w:ascii="Times New Roman" w:hAnsi="Times New Roman" w:cs="Times New Roman"/>
          <w:color w:val="auto"/>
        </w:rPr>
        <w:t>和村功能衔接互补</w:t>
      </w:r>
      <w:r>
        <w:rPr>
          <w:rFonts w:hint="eastAsia" w:ascii="Times New Roman" w:hAnsi="Times New Roman" w:cs="Times New Roman"/>
          <w:color w:val="auto"/>
          <w:lang w:eastAsia="zh-CN"/>
        </w:rPr>
        <w:t>，</w:t>
      </w:r>
      <w:r>
        <w:rPr>
          <w:rFonts w:hint="default" w:ascii="Times New Roman" w:hAnsi="Times New Roman" w:cs="Times New Roman"/>
          <w:color w:val="auto"/>
        </w:rPr>
        <w:t>逐步提升城乡融合发展水平。坚持“先规划后建设”“先设计后实施”，优化新镇区布局，强化老镇区整治，加强基础设施和便民服务设施配套。突出文化底蕴和重要节点特色风貌塑造，持续深化被撤并乡镇集镇区整治，提高长效管理水平。</w:t>
      </w:r>
    </w:p>
    <w:p w14:paraId="3CB921CD">
      <w:pPr>
        <w:pageBreakBefore w:val="0"/>
        <w:wordWrap/>
        <w:overflowPunct/>
        <w:topLinePunct w:val="0"/>
        <w:bidi w:val="0"/>
        <w:ind w:left="0" w:leftChars="0"/>
        <w:rPr>
          <w:rFonts w:hint="default" w:ascii="Times New Roman" w:hAnsi="Times New Roman" w:cs="Times New Roman"/>
          <w:color w:val="auto"/>
        </w:rPr>
      </w:pPr>
      <w:bookmarkStart w:id="250" w:name="_Toc1542568586"/>
      <w:bookmarkStart w:id="251" w:name="_Toc2076257858"/>
      <w:r>
        <w:rPr>
          <w:rFonts w:hint="default" w:ascii="Times New Roman" w:hAnsi="Times New Roman" w:cs="Times New Roman"/>
          <w:b/>
          <w:bCs/>
          <w:color w:val="auto"/>
        </w:rPr>
        <w:t>继续改造一批标准化农贸市场</w:t>
      </w:r>
      <w:bookmarkEnd w:id="250"/>
      <w:r>
        <w:rPr>
          <w:rFonts w:hint="default" w:ascii="Times New Roman" w:hAnsi="Times New Roman" w:cs="Times New Roman"/>
          <w:b/>
          <w:bCs/>
          <w:color w:val="auto"/>
          <w:lang w:eastAsia="zh-CN"/>
        </w:rPr>
        <w:t>。</w:t>
      </w:r>
      <w:r>
        <w:rPr>
          <w:rFonts w:hint="default" w:ascii="Times New Roman" w:hAnsi="Times New Roman" w:cs="Times New Roman"/>
          <w:color w:val="auto"/>
        </w:rPr>
        <w:t>在农产品网店的基础上，继续实施区域商业体系挖潜升级工程，建设农产品综合或专业批发市场，夯实发展强支柱。优化升级区、镇商贸中心，继续改造一批标准化农贸市场，高水平推进小城镇建设和管理。以“一示范四城市”为引领，优化实体商业网点布局和业态结构，提升服务能级，增强商业集聚力和辐射力。</w:t>
      </w:r>
    </w:p>
    <w:p w14:paraId="54FB92C4">
      <w:pPr>
        <w:pStyle w:val="4"/>
        <w:pageBreakBefore w:val="0"/>
        <w:wordWrap/>
        <w:overflowPunct/>
        <w:topLinePunct w:val="0"/>
        <w:bidi w:val="0"/>
        <w:ind w:left="0" w:leftChars="0"/>
        <w:rPr>
          <w:rFonts w:hint="default" w:ascii="Times New Roman" w:hAnsi="Times New Roman" w:cs="Times New Roman"/>
          <w:color w:val="auto"/>
        </w:rPr>
      </w:pPr>
      <w:bookmarkStart w:id="252" w:name="_Toc4469"/>
      <w:bookmarkStart w:id="253" w:name="_Toc769727331"/>
      <w:r>
        <w:rPr>
          <w:rFonts w:hint="default" w:ascii="Times New Roman" w:hAnsi="Times New Roman" w:cs="Times New Roman"/>
          <w:color w:val="auto"/>
        </w:rPr>
        <w:t>（三）</w:t>
      </w:r>
      <w:r>
        <w:rPr>
          <w:rFonts w:hint="default" w:ascii="Times New Roman" w:hAnsi="Times New Roman" w:cs="Times New Roman"/>
          <w:color w:val="auto"/>
          <w:lang w:eastAsia="zh-CN"/>
        </w:rPr>
        <w:t>培育</w:t>
      </w:r>
      <w:r>
        <w:rPr>
          <w:rFonts w:hint="default" w:ascii="Times New Roman" w:hAnsi="Times New Roman" w:cs="Times New Roman"/>
          <w:color w:val="auto"/>
        </w:rPr>
        <w:t>壮大“区”域富民产业</w:t>
      </w:r>
      <w:bookmarkEnd w:id="251"/>
      <w:bookmarkEnd w:id="252"/>
      <w:bookmarkEnd w:id="253"/>
    </w:p>
    <w:p w14:paraId="63518497">
      <w:pPr>
        <w:pageBreakBefore w:val="0"/>
        <w:wordWrap/>
        <w:overflowPunct/>
        <w:topLinePunct w:val="0"/>
        <w:bidi w:val="0"/>
        <w:ind w:left="0" w:leftChars="0"/>
        <w:rPr>
          <w:rFonts w:hint="default" w:ascii="Times New Roman" w:hAnsi="Times New Roman" w:cs="Times New Roman"/>
          <w:color w:val="auto"/>
          <w:lang w:eastAsia="zh-CN"/>
        </w:rPr>
      </w:pPr>
      <w:bookmarkStart w:id="254" w:name="_Toc1850210741"/>
      <w:r>
        <w:rPr>
          <w:rFonts w:hint="default" w:ascii="Times New Roman" w:hAnsi="Times New Roman" w:cs="Times New Roman"/>
          <w:b/>
          <w:bCs/>
          <w:color w:val="auto"/>
          <w:lang w:val="en-US" w:eastAsia="zh-CN"/>
        </w:rPr>
        <w:t>促进城乡产业融合</w:t>
      </w:r>
      <w:bookmarkEnd w:id="254"/>
      <w:r>
        <w:rPr>
          <w:rFonts w:hint="default" w:ascii="Times New Roman" w:hAnsi="Times New Roman" w:cs="Times New Roman"/>
          <w:b/>
          <w:bCs/>
          <w:color w:val="auto"/>
          <w:lang w:val="en-US" w:eastAsia="zh-CN"/>
        </w:rPr>
        <w:t>。</w:t>
      </w:r>
      <w:r>
        <w:rPr>
          <w:rFonts w:hint="default" w:ascii="Times New Roman" w:hAnsi="Times New Roman" w:cs="Times New Roman"/>
          <w:color w:val="auto"/>
          <w:lang w:eastAsia="zh-CN"/>
        </w:rPr>
        <w:t>城乡产业融合是城乡融合发展的重点。依托靠近上海市、连接南通城的</w:t>
      </w:r>
      <w:r>
        <w:rPr>
          <w:rFonts w:hint="default" w:ascii="Times New Roman" w:hAnsi="Times New Roman" w:cs="Times New Roman"/>
          <w:color w:val="auto"/>
          <w:lang w:val="en-US" w:eastAsia="zh-CN"/>
        </w:rPr>
        <w:t>区位</w:t>
      </w:r>
      <w:r>
        <w:rPr>
          <w:rFonts w:hint="default" w:ascii="Times New Roman" w:hAnsi="Times New Roman" w:cs="Times New Roman"/>
          <w:color w:val="auto"/>
          <w:lang w:eastAsia="zh-CN"/>
        </w:rPr>
        <w:t>优势，</w:t>
      </w:r>
      <w:r>
        <w:rPr>
          <w:rFonts w:hint="default" w:ascii="Times New Roman" w:hAnsi="Times New Roman" w:cs="Times New Roman"/>
          <w:color w:val="auto"/>
          <w:lang w:val="en-US" w:eastAsia="zh-CN"/>
        </w:rPr>
        <w:t>承接产业转移，推动</w:t>
      </w:r>
      <w:r>
        <w:rPr>
          <w:rFonts w:hint="default" w:ascii="Times New Roman" w:hAnsi="Times New Roman" w:cs="Times New Roman"/>
          <w:color w:val="auto"/>
          <w:lang w:eastAsia="zh-CN"/>
        </w:rPr>
        <w:t>“5+2+X”</w:t>
      </w:r>
      <w:r>
        <w:rPr>
          <w:rStyle w:val="29"/>
          <w:rFonts w:hint="default" w:ascii="Times New Roman" w:hAnsi="Times New Roman" w:eastAsia="仿宋_GB2312" w:cs="Times New Roman"/>
          <w:color w:val="auto"/>
          <w:szCs w:val="32"/>
        </w:rPr>
        <w:footnoteReference w:id="14"/>
      </w:r>
      <w:r>
        <w:rPr>
          <w:rFonts w:hint="default" w:ascii="Times New Roman" w:hAnsi="Times New Roman" w:cs="Times New Roman"/>
          <w:color w:val="auto"/>
          <w:lang w:eastAsia="zh-CN"/>
        </w:rPr>
        <w:t>产业发展，</w:t>
      </w:r>
      <w:r>
        <w:rPr>
          <w:rFonts w:hint="default" w:ascii="Times New Roman" w:hAnsi="Times New Roman" w:cs="Times New Roman"/>
          <w:color w:val="auto"/>
          <w:lang w:val="en-US" w:eastAsia="zh-CN"/>
        </w:rPr>
        <w:t>吸引更多的人才回归和人口集聚；通过城区人口和产业的集聚、再</w:t>
      </w:r>
      <w:r>
        <w:rPr>
          <w:rFonts w:hint="default" w:ascii="Times New Roman" w:hAnsi="Times New Roman" w:cs="Times New Roman"/>
          <w:color w:val="auto"/>
          <w:lang w:eastAsia="zh-CN"/>
        </w:rPr>
        <w:t>辐射服务</w:t>
      </w:r>
      <w:r>
        <w:rPr>
          <w:rFonts w:hint="default" w:ascii="Times New Roman" w:hAnsi="Times New Roman" w:cs="Times New Roman"/>
          <w:color w:val="auto"/>
          <w:lang w:val="en-US" w:eastAsia="zh-CN"/>
        </w:rPr>
        <w:t>和带动农业农村发展</w:t>
      </w:r>
      <w:r>
        <w:rPr>
          <w:rFonts w:hint="default" w:ascii="Times New Roman" w:hAnsi="Times New Roman" w:cs="Times New Roman"/>
          <w:color w:val="auto"/>
          <w:lang w:eastAsia="zh-CN"/>
        </w:rPr>
        <w:t>。构建以</w:t>
      </w:r>
      <w:r>
        <w:rPr>
          <w:rFonts w:hint="default" w:ascii="Times New Roman" w:hAnsi="Times New Roman" w:cs="Times New Roman"/>
          <w:color w:val="auto"/>
          <w:lang w:val="en-US" w:eastAsia="zh-CN"/>
        </w:rPr>
        <w:t>海门</w:t>
      </w:r>
      <w:r>
        <w:rPr>
          <w:rFonts w:hint="default" w:ascii="Times New Roman" w:hAnsi="Times New Roman" w:cs="Times New Roman"/>
          <w:color w:val="auto"/>
          <w:lang w:eastAsia="zh-CN"/>
        </w:rPr>
        <w:t>城为枢纽、各个中心镇为节点的区域经济体系，融合现代种养业、农产品加工业</w:t>
      </w:r>
      <w:r>
        <w:rPr>
          <w:rFonts w:hint="default" w:ascii="Times New Roman" w:hAnsi="Times New Roman" w:cs="Times New Roman"/>
          <w:color w:val="auto"/>
          <w:lang w:val="en-US" w:eastAsia="zh-CN"/>
        </w:rPr>
        <w:t>和新业态</w:t>
      </w:r>
      <w:r>
        <w:rPr>
          <w:rFonts w:hint="default" w:ascii="Times New Roman" w:hAnsi="Times New Roman" w:cs="Times New Roman"/>
          <w:color w:val="auto"/>
          <w:lang w:eastAsia="zh-CN"/>
        </w:rPr>
        <w:t>，打造结构多元、配套齐全的富民产业体系，不断提升海门城和中心镇产业的集聚能力，探索多元融合路径，</w:t>
      </w:r>
      <w:r>
        <w:rPr>
          <w:rFonts w:hint="default" w:ascii="Times New Roman" w:hAnsi="Times New Roman" w:cs="Times New Roman"/>
          <w:color w:val="auto"/>
          <w:lang w:val="en-US" w:eastAsia="zh-CN"/>
        </w:rPr>
        <w:t>强化制度支撑，</w:t>
      </w:r>
      <w:r>
        <w:rPr>
          <w:rFonts w:hint="default" w:ascii="Times New Roman" w:hAnsi="Times New Roman" w:cs="Times New Roman"/>
          <w:color w:val="auto"/>
          <w:lang w:eastAsia="zh-CN"/>
        </w:rPr>
        <w:t>促进城乡要素跨界配置和产业有机融合，带动乡村经济社会发展，扩大区域就业容量，吸引人才返镇来镇，激活乡村内部的发展动力。</w:t>
      </w:r>
      <w:bookmarkStart w:id="255" w:name="_Toc928715427"/>
    </w:p>
    <w:p w14:paraId="565E5ED3">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b/>
          <w:bCs/>
          <w:color w:val="auto"/>
        </w:rPr>
        <w:t>提升农业经营主体的产业支撑能力</w:t>
      </w:r>
      <w:bookmarkEnd w:id="255"/>
      <w:r>
        <w:rPr>
          <w:rFonts w:hint="default" w:ascii="Times New Roman" w:hAnsi="Times New Roman" w:cs="Times New Roman"/>
          <w:b/>
          <w:bCs/>
          <w:color w:val="auto"/>
          <w:lang w:eastAsia="zh-CN"/>
        </w:rPr>
        <w:t>。</w:t>
      </w:r>
      <w:r>
        <w:rPr>
          <w:rFonts w:hint="default" w:ascii="Times New Roman" w:hAnsi="Times New Roman" w:cs="Times New Roman"/>
          <w:color w:val="auto"/>
        </w:rPr>
        <w:t>培育壮大区域农业龙头企业，鼓励与产业链上下游主体建立更加紧密的合作关系。促进家庭农场高质量发展，规范农民专业合作社发展，提高运营管理水平和持续盈利能力。鼓励发展农民专业合作社和产业联盟，充分发挥产业联盟在整合资源要素、延长产业链、拓展市场等方面的独特优势。鼓励农民以发展生产、劳动就业、资产入股等多种方式参与县域产业建设和发展，共享经济发展成果。坚持全职引才与柔性引才相结合，精准引入区内产业发展需求的技能型和管理型人才。</w:t>
      </w:r>
    </w:p>
    <w:p w14:paraId="280224CE">
      <w:pPr>
        <w:pStyle w:val="3"/>
        <w:pageBreakBefore w:val="0"/>
        <w:wordWrap/>
        <w:overflowPunct/>
        <w:topLinePunct w:val="0"/>
        <w:bidi w:val="0"/>
        <w:ind w:left="0" w:leftChars="0"/>
        <w:rPr>
          <w:rFonts w:hint="default" w:ascii="Times New Roman" w:hAnsi="Times New Roman" w:cs="Times New Roman"/>
          <w:color w:val="auto"/>
        </w:rPr>
      </w:pPr>
      <w:bookmarkStart w:id="256" w:name="_Toc27656"/>
      <w:bookmarkStart w:id="257" w:name="_Toc365762589"/>
      <w:r>
        <w:rPr>
          <w:rFonts w:hint="default" w:ascii="Times New Roman" w:hAnsi="Times New Roman" w:cs="Times New Roman"/>
          <w:color w:val="auto"/>
        </w:rPr>
        <w:t>二、</w:t>
      </w:r>
      <w:r>
        <w:rPr>
          <w:rFonts w:hint="default" w:ascii="Times New Roman" w:hAnsi="Times New Roman" w:cs="Times New Roman"/>
          <w:color w:val="auto"/>
          <w:lang w:val="en-US" w:eastAsia="zh-CN"/>
        </w:rPr>
        <w:t>完善乡村基础设施和</w:t>
      </w:r>
      <w:r>
        <w:rPr>
          <w:rFonts w:hint="default" w:ascii="Times New Roman" w:hAnsi="Times New Roman" w:cs="Times New Roman"/>
          <w:color w:val="auto"/>
          <w:lang w:eastAsia="zh-CN"/>
        </w:rPr>
        <w:t>基本公共服务</w:t>
      </w:r>
      <w:bookmarkEnd w:id="256"/>
      <w:bookmarkEnd w:id="257"/>
    </w:p>
    <w:p w14:paraId="7501EC3A">
      <w:pPr>
        <w:pageBreakBefore w:val="0"/>
        <w:wordWrap/>
        <w:overflowPunct/>
        <w:topLinePunct w:val="0"/>
        <w:bidi w:val="0"/>
        <w:ind w:left="0" w:leftChars="0"/>
        <w:rPr>
          <w:rFonts w:hint="default" w:ascii="Times New Roman" w:hAnsi="Times New Roman" w:cs="Times New Roman"/>
          <w:color w:val="auto"/>
        </w:rPr>
      </w:pPr>
      <w:bookmarkStart w:id="258" w:name="_Toc536610145"/>
      <w:bookmarkStart w:id="259" w:name="_Toc550159840"/>
      <w:r>
        <w:rPr>
          <w:rFonts w:hint="default" w:ascii="Times New Roman" w:hAnsi="Times New Roman" w:cs="Times New Roman"/>
          <w:color w:val="auto"/>
        </w:rPr>
        <w:t>“十五五”期间加大力度推进乡村基础设施建设，依据《南通市基本公共服务实施标准（2024年版</w:t>
      </w:r>
      <w:r>
        <w:rPr>
          <w:rFonts w:hint="default" w:ascii="Times New Roman" w:hAnsi="Times New Roman" w:cs="Times New Roman"/>
          <w:color w:val="auto"/>
          <w:lang w:eastAsia="zh-CN"/>
        </w:rPr>
        <w:t>）</w:t>
      </w:r>
      <w:r>
        <w:rPr>
          <w:rFonts w:hint="default" w:ascii="Times New Roman" w:hAnsi="Times New Roman" w:cs="Times New Roman"/>
          <w:color w:val="auto"/>
        </w:rPr>
        <w:t>》</w:t>
      </w:r>
      <w:bookmarkEnd w:id="258"/>
      <w:r>
        <w:rPr>
          <w:rFonts w:hint="default" w:ascii="Times New Roman" w:hAnsi="Times New Roman" w:cs="Times New Roman"/>
          <w:color w:val="auto"/>
        </w:rPr>
        <w:t>，</w:t>
      </w:r>
      <w:r>
        <w:rPr>
          <w:rFonts w:hint="default" w:ascii="Times New Roman" w:hAnsi="Times New Roman" w:cs="Times New Roman"/>
          <w:color w:val="auto"/>
          <w:lang w:val="en-US" w:eastAsia="zh-CN"/>
        </w:rPr>
        <w:t>全面落实农业农村“‌公共服务优先安排”，</w:t>
      </w:r>
      <w:r>
        <w:rPr>
          <w:rFonts w:hint="default" w:ascii="Times New Roman" w:hAnsi="Times New Roman" w:cs="Times New Roman"/>
          <w:color w:val="auto"/>
        </w:rPr>
        <w:t>完善基本公共服务制度体系</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完善</w:t>
      </w:r>
      <w:r>
        <w:rPr>
          <w:rFonts w:hint="default" w:ascii="Times New Roman" w:hAnsi="Times New Roman" w:cs="Times New Roman"/>
          <w:color w:val="auto"/>
        </w:rPr>
        <w:t>城乡</w:t>
      </w:r>
      <w:r>
        <w:rPr>
          <w:rFonts w:hint="default" w:ascii="Times New Roman" w:hAnsi="Times New Roman" w:cs="Times New Roman"/>
          <w:color w:val="auto"/>
          <w:lang w:val="en-US" w:eastAsia="zh-CN"/>
        </w:rPr>
        <w:t>基础设施和</w:t>
      </w:r>
      <w:r>
        <w:rPr>
          <w:rFonts w:hint="default" w:ascii="Times New Roman" w:hAnsi="Times New Roman" w:cs="Times New Roman"/>
          <w:color w:val="auto"/>
        </w:rPr>
        <w:t>基本公共服务</w:t>
      </w:r>
      <w:r>
        <w:rPr>
          <w:rFonts w:hint="default" w:ascii="Times New Roman" w:hAnsi="Times New Roman" w:cs="Times New Roman"/>
          <w:color w:val="auto"/>
          <w:lang w:val="en-US" w:eastAsia="zh-CN"/>
        </w:rPr>
        <w:t>，</w:t>
      </w:r>
      <w:r>
        <w:rPr>
          <w:rFonts w:hint="default" w:ascii="Times New Roman" w:hAnsi="Times New Roman" w:cs="Times New Roman"/>
          <w:color w:val="auto"/>
        </w:rPr>
        <w:t>解决好人民最关心最直接最现实的利益问题，不断满足</w:t>
      </w:r>
      <w:r>
        <w:rPr>
          <w:rFonts w:hint="default" w:ascii="Times New Roman" w:hAnsi="Times New Roman" w:cs="Times New Roman"/>
          <w:color w:val="auto"/>
          <w:lang w:eastAsia="zh-CN"/>
        </w:rPr>
        <w:t>人民对美好生活的向往</w:t>
      </w:r>
      <w:r>
        <w:rPr>
          <w:rFonts w:hint="default" w:ascii="Times New Roman" w:hAnsi="Times New Roman" w:cs="Times New Roman"/>
          <w:color w:val="auto"/>
        </w:rPr>
        <w:t>。</w:t>
      </w:r>
    </w:p>
    <w:p w14:paraId="14697D25">
      <w:pPr>
        <w:pStyle w:val="4"/>
        <w:pageBreakBefore w:val="0"/>
        <w:wordWrap/>
        <w:overflowPunct/>
        <w:topLinePunct w:val="0"/>
        <w:bidi w:val="0"/>
        <w:ind w:left="0" w:leftChars="0"/>
        <w:rPr>
          <w:rFonts w:hint="default" w:ascii="Times New Roman" w:hAnsi="Times New Roman" w:cs="Times New Roman"/>
          <w:color w:val="auto"/>
        </w:rPr>
      </w:pPr>
      <w:bookmarkStart w:id="260" w:name="_Toc1273635609"/>
      <w:bookmarkStart w:id="261" w:name="_Toc9818"/>
      <w:r>
        <w:rPr>
          <w:rFonts w:hint="default" w:ascii="Times New Roman" w:hAnsi="Times New Roman" w:cs="Times New Roman"/>
          <w:color w:val="auto"/>
        </w:rPr>
        <w:t>（一）</w:t>
      </w:r>
      <w:r>
        <w:rPr>
          <w:rFonts w:hint="default" w:ascii="Times New Roman" w:hAnsi="Times New Roman" w:cs="Times New Roman"/>
          <w:color w:val="auto"/>
          <w:lang w:val="en-US" w:eastAsia="zh-CN"/>
        </w:rPr>
        <w:t>持续建设</w:t>
      </w:r>
      <w:r>
        <w:rPr>
          <w:rFonts w:hint="default" w:ascii="Times New Roman" w:hAnsi="Times New Roman" w:cs="Times New Roman"/>
          <w:color w:val="auto"/>
        </w:rPr>
        <w:t>乡村基础设施</w:t>
      </w:r>
      <w:bookmarkEnd w:id="259"/>
      <w:bookmarkEnd w:id="260"/>
      <w:bookmarkEnd w:id="261"/>
    </w:p>
    <w:p w14:paraId="0D753878">
      <w:pPr>
        <w:pageBreakBefore w:val="0"/>
        <w:wordWrap/>
        <w:overflowPunct/>
        <w:topLinePunct w:val="0"/>
        <w:bidi w:val="0"/>
        <w:ind w:left="0" w:leftChars="0"/>
        <w:rPr>
          <w:rFonts w:hint="default" w:ascii="Times New Roman" w:hAnsi="Times New Roman" w:eastAsia="仿宋_GB2312" w:cs="Times New Roman"/>
          <w:b w:val="0"/>
          <w:color w:val="auto"/>
        </w:rPr>
      </w:pPr>
      <w:bookmarkStart w:id="262" w:name="_Toc957418778"/>
      <w:r>
        <w:rPr>
          <w:rFonts w:hint="default" w:ascii="Times New Roman" w:hAnsi="Times New Roman" w:eastAsia="仿宋_GB2312" w:cs="Times New Roman"/>
          <w:b/>
          <w:bCs w:val="0"/>
          <w:color w:val="auto"/>
        </w:rPr>
        <w:t>纵深推进“四好农村路”建设</w:t>
      </w:r>
      <w:bookmarkEnd w:id="262"/>
      <w:r>
        <w:rPr>
          <w:rFonts w:hint="default" w:ascii="Times New Roman" w:hAnsi="Times New Roman" w:eastAsia="仿宋_GB2312" w:cs="Times New Roman"/>
          <w:b/>
          <w:bCs w:val="0"/>
          <w:color w:val="auto"/>
          <w:lang w:eastAsia="zh-CN"/>
        </w:rPr>
        <w:t>。</w:t>
      </w:r>
      <w:r>
        <w:rPr>
          <w:rFonts w:hint="default" w:ascii="Times New Roman" w:hAnsi="Times New Roman" w:eastAsia="仿宋_GB2312" w:cs="Times New Roman"/>
          <w:b w:val="0"/>
          <w:color w:val="auto"/>
        </w:rPr>
        <w:t>以“优结构、保安全、提质效、促融合”为重点，构建“覆盖广泛、衔接顺畅、安全韧性、绿色智能、多元融合”的农村公路网；深入推进城乡交通一体化发展，加快公共交通体系建设，融入上海大都市圈；强化科技与绿色双轮驱动，运用大数据、人工智能优化线网布局、行车计划和调度指挥，提升运营效率；</w:t>
      </w:r>
      <w:r>
        <w:rPr>
          <w:rFonts w:hint="default" w:ascii="Times New Roman" w:hAnsi="Times New Roman" w:cs="Times New Roman"/>
          <w:b w:val="0"/>
          <w:color w:val="auto"/>
          <w:lang w:val="en-US" w:eastAsia="zh-CN"/>
        </w:rPr>
        <w:t>实施农路农桥建设项目，</w:t>
      </w:r>
      <w:r>
        <w:rPr>
          <w:rFonts w:hint="default" w:ascii="Times New Roman" w:hAnsi="Times New Roman" w:eastAsia="仿宋_GB2312" w:cs="Times New Roman"/>
          <w:b w:val="0"/>
          <w:color w:val="auto"/>
        </w:rPr>
        <w:t>纵深推进“四好农村路”</w:t>
      </w:r>
      <w:r>
        <w:rPr>
          <w:rStyle w:val="29"/>
          <w:rFonts w:hint="default" w:ascii="Times New Roman" w:hAnsi="Times New Roman" w:eastAsia="仿宋_GB2312" w:cs="Times New Roman"/>
          <w:b w:val="0"/>
          <w:color w:val="auto"/>
          <w:szCs w:val="32"/>
        </w:rPr>
        <w:footnoteReference w:id="15"/>
      </w:r>
      <w:r>
        <w:rPr>
          <w:rFonts w:hint="default" w:ascii="Times New Roman" w:hAnsi="Times New Roman" w:eastAsia="仿宋_GB2312" w:cs="Times New Roman"/>
          <w:b w:val="0"/>
          <w:color w:val="auto"/>
        </w:rPr>
        <w:t>建设。至2030年</w:t>
      </w:r>
      <w:r>
        <w:rPr>
          <w:rFonts w:hint="default" w:ascii="Times New Roman" w:hAnsi="Times New Roman" w:eastAsia="仿宋_GB2312" w:cs="Times New Roman"/>
          <w:b w:val="0"/>
          <w:snapToGrid w:val="0"/>
          <w:color w:val="auto"/>
          <w:kern w:val="0"/>
          <w:sz w:val="32"/>
          <w:szCs w:val="20"/>
        </w:rPr>
        <w:t>实施农村公路工程</w:t>
      </w:r>
      <w:r>
        <w:rPr>
          <w:rFonts w:hint="default" w:ascii="Times New Roman" w:hAnsi="Times New Roman" w:eastAsia="仿宋_GB2312" w:cs="Times New Roman"/>
          <w:b w:val="0"/>
          <w:snapToGrid w:val="0"/>
          <w:color w:val="auto"/>
          <w:kern w:val="0"/>
          <w:sz w:val="32"/>
          <w:szCs w:val="20"/>
          <w:lang w:val="en-US" w:eastAsia="zh-CN"/>
        </w:rPr>
        <w:t>约达</w:t>
      </w:r>
      <w:r>
        <w:rPr>
          <w:rFonts w:hint="default" w:ascii="Times New Roman" w:hAnsi="Times New Roman" w:eastAsia="仿宋_GB2312" w:cs="Times New Roman"/>
          <w:b w:val="0"/>
          <w:snapToGrid w:val="0"/>
          <w:color w:val="auto"/>
          <w:kern w:val="0"/>
          <w:sz w:val="32"/>
          <w:szCs w:val="20"/>
        </w:rPr>
        <w:t>10公里</w:t>
      </w:r>
      <w:r>
        <w:rPr>
          <w:rFonts w:hint="default" w:ascii="Times New Roman" w:hAnsi="Times New Roman" w:eastAsia="仿宋_GB2312" w:cs="Times New Roman"/>
          <w:b w:val="0"/>
          <w:color w:val="auto"/>
        </w:rPr>
        <w:t>，推动新建农村公路桥梁15座、农村公路安防工程100公里</w:t>
      </w:r>
      <w:r>
        <w:rPr>
          <w:rFonts w:hint="default" w:ascii="Times New Roman" w:hAnsi="Times New Roman" w:eastAsia="仿宋_GB2312" w:cs="Times New Roman"/>
          <w:b w:val="0"/>
          <w:color w:val="auto"/>
          <w:lang w:val="en-US" w:eastAsia="zh-CN"/>
        </w:rPr>
        <w:t>左右</w:t>
      </w:r>
      <w:r>
        <w:rPr>
          <w:rFonts w:hint="default" w:ascii="Times New Roman" w:hAnsi="Times New Roman" w:eastAsia="仿宋_GB2312" w:cs="Times New Roman"/>
          <w:b w:val="0"/>
          <w:color w:val="auto"/>
        </w:rPr>
        <w:t>。</w:t>
      </w:r>
    </w:p>
    <w:p w14:paraId="3C14179A">
      <w:pPr>
        <w:pageBreakBefore w:val="0"/>
        <w:wordWrap/>
        <w:overflowPunct/>
        <w:topLinePunct w:val="0"/>
        <w:bidi w:val="0"/>
        <w:ind w:left="0" w:leftChars="0"/>
        <w:rPr>
          <w:rFonts w:hint="default" w:ascii="Times New Roman" w:hAnsi="Times New Roman" w:cs="Times New Roman"/>
          <w:color w:val="auto"/>
        </w:rPr>
      </w:pPr>
      <w:bookmarkStart w:id="263" w:name="_Toc242434875"/>
      <w:r>
        <w:rPr>
          <w:rFonts w:hint="default" w:ascii="Times New Roman" w:hAnsi="Times New Roman" w:cs="Times New Roman"/>
          <w:b/>
          <w:bCs/>
          <w:color w:val="auto"/>
        </w:rPr>
        <w:t>新建改造城乡燃气供水管网</w:t>
      </w:r>
      <w:bookmarkEnd w:id="263"/>
      <w:r>
        <w:rPr>
          <w:rFonts w:hint="default" w:ascii="Times New Roman" w:hAnsi="Times New Roman" w:cs="Times New Roman"/>
          <w:b/>
          <w:bCs/>
          <w:color w:val="auto"/>
          <w:lang w:eastAsia="zh-CN"/>
        </w:rPr>
        <w:t>。</w:t>
      </w:r>
      <w:r>
        <w:rPr>
          <w:rFonts w:hint="default" w:ascii="Times New Roman" w:hAnsi="Times New Roman" w:cs="Times New Roman"/>
          <w:color w:val="auto"/>
        </w:rPr>
        <w:t>深化智慧燃气建设，依托城市生命线安全工程</w:t>
      </w:r>
      <w:r>
        <w:rPr>
          <w:rStyle w:val="29"/>
          <w:rFonts w:hint="default" w:ascii="Times New Roman" w:hAnsi="Times New Roman" w:eastAsia="仿宋_GB2312" w:cs="Times New Roman"/>
          <w:color w:val="auto"/>
          <w:szCs w:val="32"/>
        </w:rPr>
        <w:footnoteReference w:id="16"/>
      </w:r>
      <w:r>
        <w:rPr>
          <w:rFonts w:hint="default" w:ascii="Times New Roman" w:hAnsi="Times New Roman" w:cs="Times New Roman"/>
          <w:color w:val="auto"/>
        </w:rPr>
        <w:t>，对燃气等地下管网进行全面梳理、监测，推动天然气管网向镇村延伸。“十五五”期间计划新建城西天然气门站、</w:t>
      </w:r>
      <w:r>
        <w:rPr>
          <w:rFonts w:hint="default" w:ascii="Times New Roman" w:hAnsi="Times New Roman" w:cs="Times New Roman"/>
          <w:color w:val="auto"/>
          <w:lang w:eastAsia="zh-CN"/>
        </w:rPr>
        <w:t>海门港新区（包场镇）</w:t>
      </w:r>
      <w:r>
        <w:rPr>
          <w:rFonts w:hint="default" w:ascii="Times New Roman" w:hAnsi="Times New Roman" w:cs="Times New Roman"/>
          <w:color w:val="auto"/>
        </w:rPr>
        <w:t>天然气门站两座，提升天然气供应能力至6.0×104m</w:t>
      </w:r>
      <w:r>
        <w:rPr>
          <w:rFonts w:hint="default" w:ascii="Times New Roman" w:hAnsi="Times New Roman" w:cs="Times New Roman"/>
          <w:color w:val="auto"/>
          <w:vertAlign w:val="superscript"/>
        </w:rPr>
        <w:t>3</w:t>
      </w:r>
      <w:r>
        <w:rPr>
          <w:rFonts w:hint="default" w:ascii="Times New Roman" w:hAnsi="Times New Roman" w:cs="Times New Roman"/>
          <w:color w:val="auto"/>
        </w:rPr>
        <w:t>/h，新建高压管道1公里，并进一步完善中低压管道建设，在天然气管道“镇镇通”的基础上，继续提升末端用户接入数量；按照智慧化、自动化的标准建设800m³瓶装液化气储配站一座，提升全区液化气场站安全水平。提升农村供水管网覆盖率，更新改造升级农村供水管网，改善农村饮用水条件，保障农村供水安全。“十五五”期间进一步完善现有的供水管网布局，扎实、持续推进平海支线新建供水管线和通汇线供水管改造建设工程，保障城区东北部的水量、水压。提倡节约用水。</w:t>
      </w:r>
    </w:p>
    <w:p w14:paraId="3893D44E">
      <w:pPr>
        <w:pageBreakBefore w:val="0"/>
        <w:wordWrap/>
        <w:overflowPunct/>
        <w:topLinePunct w:val="0"/>
        <w:bidi w:val="0"/>
        <w:ind w:left="0" w:leftChars="0"/>
        <w:rPr>
          <w:rFonts w:hint="default" w:ascii="Times New Roman" w:hAnsi="Times New Roman" w:cs="Times New Roman"/>
          <w:color w:val="auto"/>
        </w:rPr>
      </w:pPr>
      <w:bookmarkStart w:id="264" w:name="_Toc826465766"/>
      <w:r>
        <w:rPr>
          <w:rFonts w:hint="default" w:ascii="Times New Roman" w:hAnsi="Times New Roman" w:cs="Times New Roman"/>
          <w:b/>
          <w:bCs/>
          <w:color w:val="auto"/>
        </w:rPr>
        <w:t>改善农村电网和数字乡村等设施</w:t>
      </w:r>
      <w:bookmarkEnd w:id="264"/>
      <w:r>
        <w:rPr>
          <w:rFonts w:hint="default" w:ascii="Times New Roman" w:hAnsi="Times New Roman" w:cs="Times New Roman"/>
          <w:color w:val="auto"/>
          <w:lang w:eastAsia="zh-CN"/>
        </w:rPr>
        <w:t>。</w:t>
      </w:r>
      <w:r>
        <w:rPr>
          <w:rFonts w:hint="default" w:ascii="Times New Roman" w:hAnsi="Times New Roman" w:cs="Times New Roman"/>
          <w:color w:val="auto"/>
        </w:rPr>
        <w:t>巩固提升农村电网，鼓励有条件的地方建设公共充换电设施，“十五五”期间在规划发展村庄、乡村旅游重点村等布局充电桩。开展数字乡村建设行动，改善数字乡村的基础设施，持续推进5G网络和千兆光网建设</w:t>
      </w:r>
      <w:r>
        <w:rPr>
          <w:rFonts w:hint="default" w:ascii="Times New Roman" w:hAnsi="Times New Roman" w:cs="Times New Roman"/>
          <w:color w:val="auto"/>
          <w:lang w:eastAsia="zh-CN"/>
        </w:rPr>
        <w:t>，力争实现全覆盖</w:t>
      </w:r>
      <w:r>
        <w:rPr>
          <w:rFonts w:hint="default" w:ascii="Times New Roman" w:hAnsi="Times New Roman" w:cs="Times New Roman"/>
          <w:color w:val="auto"/>
        </w:rPr>
        <w:t>。改造升级村级寄递物流综合服务站。</w:t>
      </w:r>
    </w:p>
    <w:p w14:paraId="12837829">
      <w:pPr>
        <w:pStyle w:val="4"/>
        <w:pageBreakBefore w:val="0"/>
        <w:wordWrap/>
        <w:overflowPunct/>
        <w:topLinePunct w:val="0"/>
        <w:bidi w:val="0"/>
        <w:ind w:left="0" w:leftChars="0"/>
        <w:rPr>
          <w:rFonts w:hint="default" w:ascii="Times New Roman" w:hAnsi="Times New Roman" w:cs="Times New Roman"/>
          <w:color w:val="auto"/>
        </w:rPr>
      </w:pPr>
      <w:bookmarkStart w:id="265" w:name="_Toc1204039303"/>
      <w:bookmarkStart w:id="266" w:name="_Toc2024170814"/>
      <w:bookmarkStart w:id="267" w:name="_Toc20726"/>
      <w:r>
        <w:rPr>
          <w:rFonts w:hint="default" w:ascii="Times New Roman" w:hAnsi="Times New Roman" w:cs="Times New Roman"/>
          <w:color w:val="auto"/>
          <w:highlight w:val="none"/>
        </w:rPr>
        <w:t>（二）</w:t>
      </w:r>
      <w:r>
        <w:rPr>
          <w:rFonts w:hint="default" w:ascii="Times New Roman" w:hAnsi="Times New Roman" w:cs="Times New Roman"/>
          <w:color w:val="auto"/>
          <w:highlight w:val="none"/>
          <w:lang w:eastAsia="zh-CN"/>
        </w:rPr>
        <w:t>提升</w:t>
      </w:r>
      <w:r>
        <w:rPr>
          <w:rFonts w:hint="default" w:ascii="Times New Roman" w:hAnsi="Times New Roman" w:cs="Times New Roman"/>
          <w:color w:val="auto"/>
          <w:highlight w:val="none"/>
        </w:rPr>
        <w:t>基本公共服务</w:t>
      </w:r>
      <w:bookmarkEnd w:id="265"/>
      <w:r>
        <w:rPr>
          <w:rFonts w:hint="default" w:ascii="Times New Roman" w:hAnsi="Times New Roman" w:cs="Times New Roman"/>
          <w:color w:val="auto"/>
          <w:highlight w:val="none"/>
          <w:lang w:eastAsia="zh-CN"/>
        </w:rPr>
        <w:t>水平</w:t>
      </w:r>
      <w:bookmarkEnd w:id="266"/>
      <w:bookmarkEnd w:id="267"/>
      <w:bookmarkStart w:id="268" w:name="_Toc1619330545"/>
    </w:p>
    <w:bookmarkEnd w:id="268"/>
    <w:p w14:paraId="5ABC5DB2">
      <w:pPr>
        <w:pageBreakBefore w:val="0"/>
        <w:wordWrap/>
        <w:overflowPunct/>
        <w:topLinePunct w:val="0"/>
        <w:bidi w:val="0"/>
        <w:ind w:left="0" w:leftChars="0"/>
        <w:rPr>
          <w:rFonts w:hint="default" w:ascii="Times New Roman" w:hAnsi="Times New Roman" w:cs="Times New Roman"/>
          <w:color w:val="auto"/>
        </w:rPr>
      </w:pPr>
      <w:bookmarkStart w:id="269" w:name="_Toc1794625468"/>
      <w:r>
        <w:rPr>
          <w:rFonts w:hint="default" w:ascii="Times New Roman" w:hAnsi="Times New Roman" w:cs="Times New Roman"/>
          <w:b/>
          <w:bCs/>
          <w:color w:val="auto"/>
          <w:lang w:val="en-US" w:eastAsia="zh-CN"/>
        </w:rPr>
        <w:t>促进城乡教育优质资源均衡发展</w:t>
      </w:r>
      <w:bookmarkEnd w:id="269"/>
      <w:r>
        <w:rPr>
          <w:rFonts w:hint="default" w:ascii="Times New Roman" w:hAnsi="Times New Roman" w:cs="Times New Roman"/>
          <w:b/>
          <w:bCs/>
          <w:color w:val="auto"/>
          <w:lang w:val="en-US" w:eastAsia="zh-CN"/>
        </w:rPr>
        <w:t>。</w:t>
      </w:r>
      <w:r>
        <w:rPr>
          <w:rFonts w:hint="default" w:ascii="Times New Roman" w:hAnsi="Times New Roman" w:cs="Times New Roman"/>
          <w:color w:val="auto"/>
          <w:lang w:val="en-US" w:eastAsia="zh-CN"/>
        </w:rPr>
        <w:t>锚定教育强</w:t>
      </w:r>
      <w:r>
        <w:rPr>
          <w:rFonts w:hint="eastAsia" w:ascii="Times New Roman" w:hAnsi="Times New Roman" w:cs="Times New Roman"/>
          <w:color w:val="auto"/>
          <w:highlight w:val="none"/>
          <w:lang w:val="en-US" w:eastAsia="zh-CN"/>
        </w:rPr>
        <w:t>区</w:t>
      </w:r>
      <w:r>
        <w:rPr>
          <w:rFonts w:hint="default" w:ascii="Times New Roman" w:hAnsi="Times New Roman" w:cs="Times New Roman"/>
          <w:color w:val="auto"/>
          <w:lang w:val="en-US" w:eastAsia="zh-CN"/>
        </w:rPr>
        <w:t>目标，顺应人民群众对教育的新期待和经济社会发展新形势，全面提升基础教育质量。积极推进育人方式、办学模式、管理体制、保障机制改革，更好激发办学活力。加强基础教育资源统筹调配，落实随迁子女在常住地平等接受基础教育政策，逐步缩小城乡、区域、校际、群体差距</w:t>
      </w:r>
      <w:r>
        <w:rPr>
          <w:rFonts w:hint="eastAsia" w:ascii="Times New Roman" w:hAnsi="Times New Roman" w:cs="Times New Roman"/>
          <w:color w:val="auto"/>
          <w:lang w:eastAsia="zh-CN"/>
        </w:rPr>
        <w:t>，</w:t>
      </w:r>
      <w:r>
        <w:rPr>
          <w:rFonts w:hint="eastAsia" w:ascii="Times New Roman" w:hAnsi="Times New Roman" w:cs="Times New Roman"/>
          <w:color w:val="auto"/>
          <w:highlight w:val="none"/>
          <w:lang w:eastAsia="zh-CN"/>
        </w:rPr>
        <w:t>逐渐</w:t>
      </w:r>
      <w:r>
        <w:rPr>
          <w:rFonts w:hint="default" w:ascii="Times New Roman" w:hAnsi="Times New Roman" w:cs="Times New Roman"/>
          <w:color w:val="auto"/>
          <w:highlight w:val="none"/>
        </w:rPr>
        <w:t>将农业转移人口随迁子女纳入流入地义务教育保障范围</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rPr>
        <w:t>科学统筹调优乡村学校布局</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办好必要的乡村小规模学校</w:t>
      </w:r>
      <w:r>
        <w:rPr>
          <w:rFonts w:hint="default" w:ascii="Times New Roman" w:hAnsi="Times New Roman" w:cs="Times New Roman"/>
          <w:color w:val="auto"/>
        </w:rPr>
        <w:t>；协同赋能，深化集团办学改革，持续推进优质均衡发展，确保学校资源配置的校际差异系数小于0.2</w:t>
      </w:r>
      <w:r>
        <w:rPr>
          <w:rFonts w:hint="eastAsia" w:ascii="Times New Roman" w:hAnsi="Times New Roman" w:cs="Times New Roman"/>
          <w:color w:val="auto"/>
          <w:lang w:eastAsia="zh-CN"/>
        </w:rPr>
        <w:t>。</w:t>
      </w:r>
      <w:r>
        <w:rPr>
          <w:rFonts w:hint="default" w:ascii="Times New Roman" w:hAnsi="Times New Roman" w:cs="Times New Roman"/>
          <w:color w:val="auto"/>
        </w:rPr>
        <w:t>推进</w:t>
      </w:r>
      <w:r>
        <w:rPr>
          <w:rFonts w:hint="default" w:ascii="Times New Roman" w:hAnsi="Times New Roman" w:cs="Times New Roman"/>
          <w:color w:val="auto"/>
          <w:lang w:val="en-US" w:eastAsia="zh-CN"/>
        </w:rPr>
        <w:t>城乡学校共同体建设和</w:t>
      </w:r>
      <w:r>
        <w:rPr>
          <w:rFonts w:hint="default" w:ascii="Times New Roman" w:hAnsi="Times New Roman" w:cs="Times New Roman"/>
          <w:color w:val="auto"/>
        </w:rPr>
        <w:t>教育集团内部教师流动和城乡学校间优秀教师“1+N”组团式交流，缩小城乡之间学校的办学差距</w:t>
      </w:r>
      <w:r>
        <w:rPr>
          <w:rFonts w:hint="eastAsia" w:ascii="Times New Roman" w:hAnsi="Times New Roman" w:cs="Times New Roman"/>
          <w:color w:val="auto"/>
          <w:lang w:eastAsia="zh-CN"/>
        </w:rPr>
        <w:t>。</w:t>
      </w:r>
      <w:r>
        <w:rPr>
          <w:rFonts w:hint="default" w:ascii="Times New Roman" w:hAnsi="Times New Roman" w:cs="Times New Roman"/>
          <w:color w:val="auto"/>
        </w:rPr>
        <w:t>加强乡村学校标准化建设，加强乡村学校的美学教育</w:t>
      </w:r>
      <w:r>
        <w:rPr>
          <w:rFonts w:hint="eastAsia" w:ascii="Times New Roman" w:hAnsi="Times New Roman" w:cs="Times New Roman"/>
          <w:color w:val="auto"/>
          <w:lang w:eastAsia="zh-CN"/>
        </w:rPr>
        <w:t>。</w:t>
      </w:r>
      <w:r>
        <w:rPr>
          <w:rFonts w:hint="default" w:ascii="Times New Roman" w:hAnsi="Times New Roman" w:cs="Times New Roman"/>
          <w:color w:val="auto"/>
        </w:rPr>
        <w:t>实现城乡教育资源更加普惠、优质、均衡。</w:t>
      </w:r>
    </w:p>
    <w:p w14:paraId="3B77747F">
      <w:pPr>
        <w:pageBreakBefore w:val="0"/>
        <w:wordWrap/>
        <w:overflowPunct/>
        <w:topLinePunct w:val="0"/>
        <w:bidi w:val="0"/>
        <w:ind w:left="0" w:leftChars="0"/>
        <w:rPr>
          <w:rFonts w:hint="default" w:ascii="Times New Roman" w:hAnsi="Times New Roman" w:cs="Times New Roman"/>
          <w:color w:val="auto"/>
        </w:rPr>
      </w:pPr>
      <w:bookmarkStart w:id="270" w:name="_Toc862418561"/>
      <w:r>
        <w:rPr>
          <w:rFonts w:hint="default" w:ascii="Times New Roman" w:hAnsi="Times New Roman" w:cs="Times New Roman"/>
          <w:b/>
          <w:bCs/>
          <w:color w:val="auto"/>
          <w:lang w:val="en-US" w:eastAsia="zh-CN"/>
        </w:rPr>
        <w:t>均等提标城乡医疗卫生服务</w:t>
      </w:r>
      <w:bookmarkEnd w:id="270"/>
      <w:r>
        <w:rPr>
          <w:rFonts w:hint="default" w:ascii="Times New Roman" w:hAnsi="Times New Roman" w:cs="Times New Roman"/>
          <w:b/>
          <w:bCs/>
          <w:color w:val="auto"/>
          <w:lang w:val="en-US" w:eastAsia="zh-CN"/>
        </w:rPr>
        <w:t>。</w:t>
      </w:r>
      <w:r>
        <w:rPr>
          <w:rFonts w:hint="default" w:ascii="Times New Roman" w:hAnsi="Times New Roman" w:cs="Times New Roman"/>
          <w:color w:val="auto"/>
        </w:rPr>
        <w:t>深化医药卫生体制改革，</w:t>
      </w:r>
      <w:r>
        <w:rPr>
          <w:rFonts w:hint="default" w:ascii="Times New Roman" w:hAnsi="Times New Roman" w:eastAsia="仿宋_GB2312" w:cs="Times New Roman"/>
          <w:snapToGrid w:val="0"/>
          <w:color w:val="auto"/>
          <w:kern w:val="0"/>
          <w:sz w:val="32"/>
          <w:szCs w:val="20"/>
          <w:lang w:val="en-US" w:eastAsia="zh-CN"/>
        </w:rPr>
        <w:t>加强以基本医疗保险为主体，大病医疗保险为补充，医疗救助为托底的三重制度综合保障，推动与基本医疗保险相衔接的商业补充医疗保险发展。深入推进全民参保计划，确保“应保尽保”</w:t>
      </w:r>
      <w:r>
        <w:rPr>
          <w:rFonts w:hint="default" w:ascii="Times New Roman" w:hAnsi="Times New Roman" w:cs="Times New Roman"/>
          <w:color w:val="auto"/>
        </w:rPr>
        <w:t>。完善“15分钟健康圈”。加强紧密型县域医共体建设和传染病监测防控，加快医疗资源均衡布局和区域医疗服务同质化进程</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十五五”期间全年县域医共体人员下沉派驻覆盖率保持在100%</w:t>
      </w:r>
      <w:r>
        <w:rPr>
          <w:rFonts w:hint="default" w:ascii="Times New Roman" w:hAnsi="Times New Roman" w:cs="Times New Roman"/>
          <w:color w:val="auto"/>
        </w:rPr>
        <w:t>。强化基层医疗卫生服务功能，提档升级村卫生室，推动乡村医生向执业（助理）医师转化，不断提高基层医疗服务保障水平。“十五五”期末基层医疗机构门急诊占</w:t>
      </w:r>
      <w:r>
        <w:rPr>
          <w:rFonts w:hint="default" w:ascii="Times New Roman" w:hAnsi="Times New Roman" w:cs="Times New Roman"/>
          <w:color w:val="auto"/>
          <w:lang w:eastAsia="zh-CN"/>
        </w:rPr>
        <w:t>比</w:t>
      </w:r>
      <w:r>
        <w:rPr>
          <w:rFonts w:hint="default" w:ascii="Times New Roman" w:hAnsi="Times New Roman" w:cs="Times New Roman"/>
          <w:color w:val="auto"/>
        </w:rPr>
        <w:t>67%</w:t>
      </w:r>
      <w:r>
        <w:rPr>
          <w:rFonts w:hint="default" w:ascii="Times New Roman" w:hAnsi="Times New Roman" w:cs="Times New Roman"/>
          <w:color w:val="auto"/>
          <w:lang w:val="en-US" w:eastAsia="zh-CN"/>
        </w:rPr>
        <w:t>左右</w:t>
      </w:r>
      <w:r>
        <w:rPr>
          <w:rFonts w:hint="default" w:ascii="Times New Roman" w:hAnsi="Times New Roman" w:cs="Times New Roman"/>
          <w:color w:val="auto"/>
        </w:rPr>
        <w:t>，比“十四五”末提高两个百分点。</w:t>
      </w:r>
    </w:p>
    <w:p w14:paraId="505698D3">
      <w:pPr>
        <w:pageBreakBefore w:val="0"/>
        <w:wordWrap/>
        <w:overflowPunct/>
        <w:topLinePunct w:val="0"/>
        <w:bidi w:val="0"/>
        <w:ind w:left="0" w:leftChars="0"/>
        <w:rPr>
          <w:rFonts w:hint="default" w:ascii="Times New Roman" w:hAnsi="Times New Roman" w:cs="Times New Roman"/>
          <w:color w:val="auto"/>
        </w:rPr>
      </w:pPr>
      <w:bookmarkStart w:id="271" w:name="_Toc1301621124"/>
      <w:r>
        <w:rPr>
          <w:rFonts w:hint="default" w:ascii="Times New Roman" w:hAnsi="Times New Roman" w:cs="Times New Roman"/>
          <w:b/>
          <w:bCs/>
          <w:color w:val="auto"/>
          <w:lang w:val="en-US" w:eastAsia="zh-CN"/>
        </w:rPr>
        <w:t>不断健全“一老一小”保障机制</w:t>
      </w:r>
      <w:bookmarkEnd w:id="271"/>
      <w:r>
        <w:rPr>
          <w:rFonts w:hint="default" w:ascii="Times New Roman" w:hAnsi="Times New Roman" w:cs="Times New Roman"/>
          <w:b/>
          <w:bCs/>
          <w:color w:val="auto"/>
          <w:lang w:val="en-US" w:eastAsia="zh-CN"/>
        </w:rPr>
        <w:t>。</w:t>
      </w:r>
      <w:r>
        <w:rPr>
          <w:rFonts w:hint="default" w:ascii="Times New Roman" w:hAnsi="Times New Roman" w:cs="Times New Roman"/>
          <w:color w:val="auto"/>
        </w:rPr>
        <w:t>强化政策宣传引导，营造良好社会氛围；</w:t>
      </w:r>
      <w:r>
        <w:rPr>
          <w:rFonts w:hint="default" w:ascii="Times New Roman" w:hAnsi="Times New Roman" w:cs="Times New Roman"/>
          <w:color w:val="auto"/>
          <w:lang w:val="en-US" w:eastAsia="zh-CN"/>
        </w:rPr>
        <w:t>积极应对人口老龄化，加强老年人社会保障，推动养老服务提质增效，大力发展银发经济。</w:t>
      </w:r>
      <w:r>
        <w:rPr>
          <w:rFonts w:hint="default" w:ascii="Times New Roman" w:hAnsi="Times New Roman" w:cs="Times New Roman"/>
          <w:color w:val="auto"/>
        </w:rPr>
        <w:t>健全社会保障体系，深入推进全民参保计划，实现法定人员全覆盖；稳步提高待遇水平，增强保障的充足性；健全筹资机制，确保制度长期可持续；提升经办服务效能，推进便捷化数字化。健全基本养老服务制度体系，提升综合监管效能；提高居家社区养老服务品质，为老年人提供从机构到社区居家相衔接的一体化专业养老服务；加快养老结构服务能力和养老服务人才队伍建设，提升乡村养老服务质效。深化“链式养老”服务模式，实施链式养老服务和重点对象家庭照护设施建设项目，积极参加“南通市养老金融示范区”试点以及国家工信部“养老机器人运用场景”试点。</w:t>
      </w:r>
    </w:p>
    <w:p w14:paraId="36F1B4D2">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eastAsia="仿宋_GB2312" w:cs="Times New Roman"/>
          <w:snapToGrid w:val="0"/>
          <w:color w:val="auto"/>
          <w:kern w:val="0"/>
          <w:sz w:val="32"/>
          <w:szCs w:val="20"/>
          <w:lang w:val="en-US" w:eastAsia="zh-CN"/>
        </w:rPr>
        <w:t>加快建设生育友好型社会，加强生育服务保障，完善婴幼儿照护服务，健全家庭综合支持政策体系</w:t>
      </w:r>
      <w:r>
        <w:rPr>
          <w:rFonts w:hint="eastAsia" w:ascii="Times New Roman" w:hAnsi="Times New Roman" w:cs="Times New Roman"/>
          <w:snapToGrid w:val="0"/>
          <w:color w:val="auto"/>
          <w:kern w:val="0"/>
          <w:sz w:val="32"/>
          <w:szCs w:val="20"/>
          <w:lang w:val="en-US" w:eastAsia="zh-CN"/>
        </w:rPr>
        <w:t>。</w:t>
      </w:r>
      <w:r>
        <w:rPr>
          <w:rFonts w:hint="default" w:ascii="Times New Roman" w:hAnsi="Times New Roman" w:eastAsia="仿宋_GB2312" w:cs="Times New Roman"/>
          <w:snapToGrid w:val="0"/>
          <w:color w:val="auto"/>
          <w:kern w:val="0"/>
          <w:sz w:val="32"/>
          <w:szCs w:val="20"/>
        </w:rPr>
        <w:t>持续建设普惠托幼机构</w:t>
      </w:r>
      <w:r>
        <w:rPr>
          <w:rFonts w:hint="default" w:ascii="Times New Roman" w:hAnsi="Times New Roman" w:cs="Times New Roman"/>
          <w:color w:val="auto"/>
        </w:rPr>
        <w:t>，提升“一镇一普惠”覆盖率，</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十五五”期间</w:t>
      </w:r>
      <w:r>
        <w:rPr>
          <w:rFonts w:hint="default" w:ascii="Times New Roman" w:hAnsi="Times New Roman" w:cs="Times New Roman"/>
          <w:color w:val="auto"/>
        </w:rPr>
        <w:t>学前三年毛入园率达到100％，普惠性幼儿园覆盖率稳定在90%以上，省、市优质幼儿园覆盖率保持在99％以上。</w:t>
      </w:r>
      <w:r>
        <w:rPr>
          <w:rFonts w:hint="default" w:ascii="Times New Roman" w:hAnsi="Times New Roman" w:eastAsia="仿宋_GB2312" w:cs="Times New Roman"/>
          <w:snapToGrid w:val="0"/>
          <w:color w:val="auto"/>
          <w:kern w:val="0"/>
          <w:sz w:val="32"/>
          <w:szCs w:val="20"/>
        </w:rPr>
        <w:t>不断提高0-3岁婴幼儿托育服务覆盖率，构建较为完善的0-3岁婴幼儿普惠托育服务体系</w:t>
      </w:r>
      <w:r>
        <w:rPr>
          <w:rFonts w:hint="default" w:ascii="Times New Roman" w:hAnsi="Times New Roman" w:cs="Times New Roman"/>
          <w:color w:val="auto"/>
        </w:rPr>
        <w:t>。充分运用“大数据+网格化+铁脚板”模式，</w:t>
      </w:r>
      <w:r>
        <w:rPr>
          <w:rFonts w:hint="default" w:ascii="Times New Roman" w:hAnsi="Times New Roman" w:eastAsia="仿宋_GB2312" w:cs="Times New Roman"/>
          <w:snapToGrid w:val="0"/>
          <w:color w:val="auto"/>
          <w:kern w:val="0"/>
          <w:sz w:val="32"/>
          <w:szCs w:val="20"/>
          <w:lang w:val="en-US" w:eastAsia="zh-CN"/>
        </w:rPr>
        <w:t>加强农村留守儿童、困境儿童关心关爱</w:t>
      </w:r>
      <w:r>
        <w:rPr>
          <w:rFonts w:hint="default" w:ascii="Times New Roman" w:hAnsi="Times New Roman" w:cs="Times New Roman"/>
          <w:color w:val="auto"/>
        </w:rPr>
        <w:t>。</w:t>
      </w:r>
    </w:p>
    <w:p w14:paraId="116B417A">
      <w:pPr>
        <w:pStyle w:val="4"/>
        <w:pageBreakBefore w:val="0"/>
        <w:wordWrap/>
        <w:overflowPunct/>
        <w:topLinePunct w:val="0"/>
        <w:bidi w:val="0"/>
        <w:ind w:left="0" w:leftChars="0"/>
        <w:rPr>
          <w:rFonts w:hint="default" w:ascii="Times New Roman" w:hAnsi="Times New Roman" w:cs="Times New Roman"/>
          <w:color w:val="auto"/>
          <w:highlight w:val="none"/>
          <w:lang w:val="en-US" w:eastAsia="zh-CN"/>
        </w:rPr>
      </w:pPr>
      <w:bookmarkStart w:id="272" w:name="_Toc23902"/>
      <w:r>
        <w:rPr>
          <w:rFonts w:hint="default" w:ascii="Times New Roman" w:hAnsi="Times New Roman" w:cs="Times New Roman"/>
          <w:color w:val="auto"/>
          <w:highlight w:val="none"/>
          <w:lang w:val="en-US" w:eastAsia="zh-CN"/>
        </w:rPr>
        <w:t>（三）完善农业转移人口社会保障</w:t>
      </w:r>
      <w:bookmarkEnd w:id="272"/>
    </w:p>
    <w:p w14:paraId="7C67E805">
      <w:pPr>
        <w:pageBreakBefore w:val="0"/>
        <w:numPr>
          <w:ilvl w:val="0"/>
          <w:numId w:val="0"/>
        </w:numPr>
        <w:wordWrap/>
        <w:overflowPunct/>
        <w:topLinePunct w:val="0"/>
        <w:bidi w:val="0"/>
        <w:ind w:left="0" w:leftChars="0" w:firstLine="64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有序推动区域内农民工就地市民化，促进人力资源本土化配置，</w:t>
      </w:r>
      <w:r>
        <w:rPr>
          <w:rFonts w:hint="default" w:ascii="Times New Roman" w:hAnsi="Times New Roman" w:cs="Times New Roman"/>
          <w:color w:val="auto"/>
          <w:lang w:val="en-US" w:eastAsia="zh-CN"/>
        </w:rPr>
        <w:t>完善农业转移人口的社会保障，让转移人口在城里“留得下、融得进”，释放消费潜力、优化劳动力配置，为城乡融合和高质量发展注入强劲动力。破除户籍等制度壁垒，推行人口按常住地登记户口登记，让社保、住房保障、子女教育等公共服务与户籍脱钩，真正实现“同城同权”。依法保障转移人口在农村的土地承包权、宅基地使用权和集体收益分配权，让转移人口进城无后顾之忧。加强以家庭迁移为导向的市民化政策设计，完善以家庭为单位的税收、抚育赡养、教育住房、生活保障等政策，推动城镇基本公共服务覆盖未落户的常住人口。扩大社保覆盖面，将更多农业转移人口纳入城镇职工养老、医疗等保障体系，确保跨地区转移接续社保关系顺畅。推动符合条件的农业转移人口纳入城镇住房保障体系，解决安居问题。加强劳动权益保护，完善工资支付保障机制，并提供必要的职业技能培训，提升就业质量。充分发挥失业保险作用，为劳动者织密生活保障防线。</w:t>
      </w:r>
    </w:p>
    <w:p w14:paraId="1F9D31B2">
      <w:pPr>
        <w:pStyle w:val="4"/>
        <w:pageBreakBefore w:val="0"/>
        <w:wordWrap/>
        <w:overflowPunct/>
        <w:topLinePunct w:val="0"/>
        <w:bidi w:val="0"/>
        <w:ind w:left="0" w:leftChars="0"/>
        <w:rPr>
          <w:rFonts w:hint="default" w:ascii="Times New Roman" w:hAnsi="Times New Roman" w:cs="Times New Roman"/>
          <w:color w:val="auto"/>
          <w:highlight w:val="none"/>
          <w:lang w:eastAsia="zh-CN"/>
        </w:rPr>
      </w:pPr>
      <w:bookmarkStart w:id="273" w:name="_Toc2211"/>
      <w:bookmarkStart w:id="274" w:name="_Toc1028211384"/>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四</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推动城乡资源要素双向流动</w:t>
      </w:r>
      <w:bookmarkEnd w:id="273"/>
    </w:p>
    <w:p w14:paraId="68BD974F">
      <w:pPr>
        <w:pageBreakBefore w:val="0"/>
        <w:wordWrap/>
        <w:overflowPunct/>
        <w:topLinePunct w:val="0"/>
        <w:bidi w:val="0"/>
        <w:ind w:left="0" w:left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加快完善要素市场化配置体制机制，推动城乡资源要素的双向流动，深化关键领域改革，打破制度壁垒，</w:t>
      </w:r>
      <w:r>
        <w:rPr>
          <w:rFonts w:hint="default" w:ascii="Times New Roman" w:hAnsi="Times New Roman" w:cs="Times New Roman"/>
          <w:color w:val="auto"/>
        </w:rPr>
        <w:t>建立健全制度框架和政策体系，充分发挥城镇的链接作用和产业的带动作用，</w:t>
      </w:r>
      <w:r>
        <w:rPr>
          <w:rFonts w:hint="default" w:ascii="Times New Roman" w:hAnsi="Times New Roman" w:cs="Times New Roman"/>
          <w:color w:val="auto"/>
          <w:lang w:val="en-US" w:eastAsia="zh-CN"/>
        </w:rPr>
        <w:t>让人才、土地、资金、技术等要素在城乡间自由流动、优化配置，最终实现城乡融合发展。推动“互联网+政务服务”，全面实施派出所户籍窗口“一站式”办理业务。</w:t>
      </w:r>
      <w:r>
        <w:rPr>
          <w:rFonts w:hint="default" w:ascii="Times New Roman" w:hAnsi="Times New Roman" w:cs="Times New Roman"/>
          <w:color w:val="auto"/>
        </w:rPr>
        <w:t>切实深化农村土地制度改革，推动农村集体经营性建设用地入市。引导城市人才下乡，</w:t>
      </w:r>
      <w:r>
        <w:rPr>
          <w:rFonts w:hint="default" w:ascii="Times New Roman" w:hAnsi="Times New Roman" w:cs="Times New Roman"/>
          <w:color w:val="auto"/>
          <w:lang w:val="en-US" w:eastAsia="zh-CN"/>
        </w:rPr>
        <w:t>同时</w:t>
      </w:r>
      <w:r>
        <w:rPr>
          <w:rFonts w:hint="default" w:ascii="Times New Roman" w:hAnsi="Times New Roman" w:cs="Times New Roman"/>
          <w:color w:val="auto"/>
        </w:rPr>
        <w:t>改善农村环境，吸引人才返乡创业就业，为乡村发展注入活力</w:t>
      </w:r>
      <w:r>
        <w:rPr>
          <w:rFonts w:hint="default" w:ascii="Times New Roman" w:hAnsi="Times New Roman" w:cs="Times New Roman"/>
          <w:color w:val="auto"/>
          <w:lang w:eastAsia="zh-CN"/>
        </w:rPr>
        <w:t>，</w:t>
      </w:r>
      <w:r>
        <w:rPr>
          <w:rFonts w:hint="default" w:ascii="Times New Roman" w:hAnsi="Times New Roman" w:cs="Times New Roman"/>
          <w:color w:val="auto"/>
        </w:rPr>
        <w:t>促进人才双向流动。强化资金和技术支持</w:t>
      </w:r>
      <w:r>
        <w:rPr>
          <w:rFonts w:hint="default" w:ascii="Times New Roman" w:hAnsi="Times New Roman" w:cs="Times New Roman"/>
          <w:color w:val="auto"/>
          <w:lang w:eastAsia="zh-CN"/>
        </w:rPr>
        <w:t>，</w:t>
      </w:r>
      <w:r>
        <w:rPr>
          <w:rFonts w:hint="default" w:ascii="Times New Roman" w:hAnsi="Times New Roman" w:cs="Times New Roman"/>
          <w:color w:val="auto"/>
        </w:rPr>
        <w:t>引导城市资本、技术下乡，同时利用数字技术赋能乡村产业，提升价值创造能力</w:t>
      </w:r>
      <w:r>
        <w:rPr>
          <w:rFonts w:hint="default" w:ascii="Times New Roman" w:hAnsi="Times New Roman" w:cs="Times New Roman"/>
          <w:color w:val="auto"/>
          <w:lang w:eastAsia="zh-CN"/>
        </w:rPr>
        <w:t>；</w:t>
      </w:r>
      <w:r>
        <w:rPr>
          <w:rFonts w:hint="default" w:ascii="Times New Roman" w:hAnsi="Times New Roman" w:cs="Times New Roman"/>
          <w:color w:val="auto"/>
        </w:rPr>
        <w:t>完善市场机制与政策保障</w:t>
      </w:r>
      <w:r>
        <w:rPr>
          <w:rFonts w:hint="default" w:ascii="Times New Roman" w:hAnsi="Times New Roman" w:cs="Times New Roman"/>
          <w:color w:val="auto"/>
          <w:lang w:eastAsia="zh-CN"/>
        </w:rPr>
        <w:t>，</w:t>
      </w:r>
      <w:r>
        <w:rPr>
          <w:rFonts w:hint="default" w:ascii="Times New Roman" w:hAnsi="Times New Roman" w:cs="Times New Roman"/>
          <w:color w:val="auto"/>
        </w:rPr>
        <w:t>构建城乡统一的要素市场，健全利益联结机制，确保改革红利惠及农民。</w:t>
      </w:r>
      <w:bookmarkEnd w:id="274"/>
    </w:p>
    <w:p w14:paraId="64042CCF">
      <w:pPr>
        <w:pageBreakBefore w:val="0"/>
        <w:wordWrap/>
        <w:overflowPunct/>
        <w:topLinePunct w:val="0"/>
        <w:bidi w:val="0"/>
        <w:ind w:left="0" w:leftChars="0"/>
        <w:rPr>
          <w:rFonts w:hint="default" w:ascii="Times New Roman" w:hAnsi="Times New Roman" w:cs="Times New Roman"/>
          <w:color w:val="auto"/>
        </w:rPr>
      </w:pPr>
    </w:p>
    <w:p w14:paraId="33698641">
      <w:pPr>
        <w:pStyle w:val="4"/>
        <w:pageBreakBefore w:val="0"/>
        <w:widowControl w:val="0"/>
        <w:wordWrap/>
        <w:overflowPunct/>
        <w:topLinePunct w:val="0"/>
        <w:bidi w:val="0"/>
        <w:spacing w:line="360" w:lineRule="auto"/>
        <w:ind w:left="0" w:leftChars="0"/>
        <w:jc w:val="both"/>
        <w:rPr>
          <w:rFonts w:hint="default" w:ascii="Times New Roman" w:hAnsi="Times New Roman" w:eastAsia="宋体" w:cs="Times New Roman"/>
          <w:color w:val="auto"/>
          <w:sz w:val="24"/>
        </w:rPr>
        <w:sectPr>
          <w:footnotePr>
            <w:numFmt w:val="decimalEnclosedCircleChinese"/>
            <w:numRestart w:val="eachPage"/>
          </w:footnotePr>
          <w:pgSz w:w="11906" w:h="16838"/>
          <w:pgMar w:top="1701" w:right="1474" w:bottom="1587" w:left="1587" w:header="510" w:footer="1474" w:gutter="0"/>
          <w:pgNumType w:fmt="decimal"/>
          <w:cols w:space="0" w:num="1"/>
          <w:rtlGutter w:val="0"/>
          <w:docGrid w:type="lines" w:linePitch="326" w:charSpace="0"/>
        </w:sectPr>
      </w:pPr>
    </w:p>
    <w:p w14:paraId="71267D92">
      <w:pPr>
        <w:pStyle w:val="2"/>
        <w:pageBreakBefore w:val="0"/>
        <w:wordWrap/>
        <w:overflowPunct/>
        <w:topLinePunct w:val="0"/>
        <w:bidi w:val="0"/>
        <w:spacing w:before="0" w:beforeLines="0" w:after="0" w:afterLines="0"/>
        <w:ind w:left="0" w:leftChars="0"/>
        <w:rPr>
          <w:rFonts w:hint="default" w:ascii="Times New Roman" w:hAnsi="Times New Roman" w:eastAsia="黑体" w:cs="Times New Roman"/>
          <w:color w:val="auto"/>
          <w:w w:val="100"/>
          <w:sz w:val="36"/>
          <w:lang w:val="en-US" w:eastAsia="zh-CN"/>
        </w:rPr>
      </w:pPr>
      <w:bookmarkStart w:id="275" w:name="_Toc1950418771"/>
      <w:bookmarkStart w:id="276" w:name="_Toc30154"/>
      <w:r>
        <w:rPr>
          <w:rFonts w:hint="default" w:ascii="Times New Roman" w:hAnsi="Times New Roman" w:eastAsia="黑体" w:cs="Times New Roman"/>
          <w:color w:val="auto"/>
          <w:w w:val="100"/>
          <w:sz w:val="36"/>
        </w:rPr>
        <w:t>第六章</w:t>
      </w:r>
      <w:r>
        <w:rPr>
          <w:rFonts w:hint="default" w:ascii="Times New Roman" w:hAnsi="Times New Roman" w:eastAsia="黑体" w:cs="Times New Roman"/>
          <w:color w:val="auto"/>
          <w:w w:val="100"/>
          <w:sz w:val="36"/>
          <w:lang w:val="en-US" w:eastAsia="zh-CN"/>
        </w:rPr>
        <w:t xml:space="preserve"> 完善政策保障</w:t>
      </w:r>
      <w:r>
        <w:rPr>
          <w:rFonts w:hint="default" w:ascii="Times New Roman" w:hAnsi="Times New Roman" w:eastAsia="黑体" w:cs="Times New Roman"/>
          <w:color w:val="auto"/>
          <w:w w:val="100"/>
          <w:sz w:val="36"/>
        </w:rPr>
        <w:t xml:space="preserve"> </w:t>
      </w:r>
      <w:bookmarkEnd w:id="275"/>
      <w:r>
        <w:rPr>
          <w:rFonts w:hint="default" w:ascii="Times New Roman" w:hAnsi="Times New Roman" w:eastAsia="黑体" w:cs="Times New Roman"/>
          <w:color w:val="auto"/>
          <w:w w:val="100"/>
          <w:sz w:val="36"/>
          <w:lang w:val="en-US" w:eastAsia="zh-CN"/>
        </w:rPr>
        <w:t>推进落地见效</w:t>
      </w:r>
      <w:bookmarkEnd w:id="276"/>
    </w:p>
    <w:p w14:paraId="3AB80E3F">
      <w:pPr>
        <w:pageBreakBefore w:val="0"/>
        <w:wordWrap/>
        <w:overflowPunct/>
        <w:topLinePunct w:val="0"/>
        <w:bidi w:val="0"/>
        <w:ind w:left="0" w:leftChars="0"/>
        <w:rPr>
          <w:rFonts w:hint="default" w:ascii="Times New Roman" w:hAnsi="Times New Roman" w:cs="Times New Roman"/>
          <w:color w:val="auto"/>
          <w:lang w:val="en-US"/>
        </w:rPr>
      </w:pPr>
      <w:r>
        <w:rPr>
          <w:rFonts w:hint="default" w:ascii="Times New Roman" w:hAnsi="Times New Roman" w:cs="Times New Roman"/>
          <w:color w:val="auto"/>
          <w:lang w:val="en-US" w:eastAsia="zh-CN"/>
        </w:rPr>
        <w:t>全面落实农业农村“四大优先”制度安排，完善组织推动、要素配置等方面的制度性安排，推动人力投入、物力配置、财力保障向农业农村倾斜，确保乡村振兴投入力度不断增强，为海门早日实现“农业更强、农村更美、农民更富、城乡融合”提供制度保障、落地见效。</w:t>
      </w:r>
    </w:p>
    <w:p w14:paraId="1BF3E363">
      <w:pPr>
        <w:pStyle w:val="3"/>
        <w:pageBreakBefore w:val="0"/>
        <w:wordWrap/>
        <w:overflowPunct/>
        <w:topLinePunct w:val="0"/>
        <w:bidi w:val="0"/>
        <w:ind w:left="0" w:leftChars="0"/>
        <w:rPr>
          <w:rFonts w:hint="default" w:ascii="Times New Roman" w:hAnsi="Times New Roman" w:cs="Times New Roman"/>
          <w:color w:val="auto"/>
        </w:rPr>
      </w:pPr>
      <w:bookmarkStart w:id="277" w:name="_Toc29"/>
      <w:bookmarkStart w:id="278" w:name="_Toc1497896389"/>
      <w:r>
        <w:rPr>
          <w:rFonts w:hint="default" w:ascii="Times New Roman" w:hAnsi="Times New Roman" w:cs="Times New Roman"/>
          <w:color w:val="auto"/>
        </w:rPr>
        <w:t>一、加强组织领导</w:t>
      </w:r>
      <w:bookmarkEnd w:id="277"/>
      <w:bookmarkEnd w:id="278"/>
    </w:p>
    <w:p w14:paraId="585BC723">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lang w:val="en-US" w:eastAsia="zh-CN"/>
        </w:rPr>
        <w:t>落实“‌干部配备优先安排”的指示精神，</w:t>
      </w:r>
      <w:r>
        <w:rPr>
          <w:rFonts w:hint="default" w:ascii="Times New Roman" w:hAnsi="Times New Roman" w:cs="Times New Roman"/>
          <w:color w:val="auto"/>
        </w:rPr>
        <w:t>推进江海先锋培育工程，坚定不移抓党建促乡村</w:t>
      </w:r>
      <w:r>
        <w:rPr>
          <w:rFonts w:hint="default" w:ascii="Times New Roman" w:hAnsi="Times New Roman" w:cs="Times New Roman"/>
          <w:color w:val="auto"/>
          <w:lang w:val="en-US" w:eastAsia="zh-CN"/>
        </w:rPr>
        <w:t>全面</w:t>
      </w:r>
      <w:r>
        <w:rPr>
          <w:rFonts w:hint="default" w:ascii="Times New Roman" w:hAnsi="Times New Roman" w:cs="Times New Roman"/>
          <w:color w:val="auto"/>
        </w:rPr>
        <w:t>振兴，不断增强农村基层党组织政治功能和组织功能，推动党的政治优势、组织优势切实转化为</w:t>
      </w:r>
      <w:r>
        <w:rPr>
          <w:rFonts w:hint="default" w:ascii="Times New Roman" w:hAnsi="Times New Roman" w:cs="Times New Roman"/>
          <w:color w:val="auto"/>
          <w:lang w:val="en-US" w:eastAsia="zh-CN"/>
        </w:rPr>
        <w:t>加快农业农村现代化</w:t>
      </w:r>
      <w:r>
        <w:rPr>
          <w:rFonts w:hint="default" w:ascii="Times New Roman" w:hAnsi="Times New Roman" w:cs="Times New Roman"/>
          <w:color w:val="auto"/>
        </w:rPr>
        <w:t>全面推进乡村</w:t>
      </w:r>
      <w:r>
        <w:rPr>
          <w:rFonts w:hint="default" w:ascii="Times New Roman" w:hAnsi="Times New Roman" w:cs="Times New Roman"/>
          <w:color w:val="auto"/>
          <w:lang w:val="en-US" w:eastAsia="zh-CN"/>
        </w:rPr>
        <w:t>全面</w:t>
      </w:r>
      <w:r>
        <w:rPr>
          <w:rFonts w:hint="default" w:ascii="Times New Roman" w:hAnsi="Times New Roman" w:cs="Times New Roman"/>
          <w:color w:val="auto"/>
        </w:rPr>
        <w:t>振兴</w:t>
      </w:r>
      <w:r>
        <w:rPr>
          <w:rFonts w:hint="default" w:ascii="Times New Roman" w:hAnsi="Times New Roman" w:cs="Times New Roman"/>
          <w:color w:val="auto"/>
          <w:lang w:val="en-US" w:eastAsia="zh-CN"/>
        </w:rPr>
        <w:t>的</w:t>
      </w:r>
      <w:r>
        <w:rPr>
          <w:rFonts w:hint="default" w:ascii="Times New Roman" w:hAnsi="Times New Roman" w:cs="Times New Roman"/>
          <w:color w:val="auto"/>
        </w:rPr>
        <w:t>优势。持续加强党建引领乡村全面振兴</w:t>
      </w:r>
      <w:r>
        <w:rPr>
          <w:rFonts w:hint="default" w:ascii="Times New Roman" w:hAnsi="Times New Roman" w:cs="Times New Roman"/>
          <w:b w:val="0"/>
          <w:bCs w:val="0"/>
          <w:color w:val="auto"/>
        </w:rPr>
        <w:t>，雁阵</w:t>
      </w:r>
      <w:r>
        <w:rPr>
          <w:rFonts w:hint="default" w:ascii="Times New Roman" w:hAnsi="Times New Roman" w:cs="Times New Roman"/>
          <w:b w:val="0"/>
          <w:bCs w:val="0"/>
          <w:color w:val="auto"/>
          <w:lang w:eastAsia="zh-CN"/>
        </w:rPr>
        <w:t>培育建强“</w:t>
      </w:r>
      <w:r>
        <w:rPr>
          <w:rFonts w:hint="default" w:ascii="Times New Roman" w:hAnsi="Times New Roman" w:cs="Times New Roman"/>
          <w:b w:val="0"/>
          <w:bCs w:val="0"/>
          <w:color w:val="auto"/>
        </w:rPr>
        <w:t>新农干</w:t>
      </w:r>
      <w:r>
        <w:rPr>
          <w:rFonts w:hint="default" w:ascii="Times New Roman" w:hAnsi="Times New Roman" w:cs="Times New Roman"/>
          <w:b w:val="0"/>
          <w:bCs w:val="0"/>
          <w:color w:val="auto"/>
          <w:lang w:eastAsia="zh-CN"/>
        </w:rPr>
        <w:t>”。</w:t>
      </w:r>
      <w:r>
        <w:rPr>
          <w:rFonts w:hint="default" w:ascii="Times New Roman" w:hAnsi="Times New Roman" w:cs="Times New Roman"/>
          <w:color w:val="auto"/>
        </w:rPr>
        <w:t>以村书记专业化管理为总抓手，实施</w:t>
      </w:r>
      <w:r>
        <w:rPr>
          <w:rFonts w:hint="default" w:ascii="Times New Roman" w:hAnsi="Times New Roman" w:cs="Times New Roman"/>
          <w:color w:val="auto"/>
          <w:lang w:eastAsia="zh-CN"/>
        </w:rPr>
        <w:t>“</w:t>
      </w:r>
      <w:r>
        <w:rPr>
          <w:rFonts w:hint="default" w:ascii="Times New Roman" w:hAnsi="Times New Roman" w:cs="Times New Roman"/>
          <w:color w:val="auto"/>
        </w:rPr>
        <w:t>头雁领航强堡垒行动</w:t>
      </w:r>
      <w:r>
        <w:rPr>
          <w:rFonts w:hint="default" w:ascii="Times New Roman" w:hAnsi="Times New Roman" w:cs="Times New Roman"/>
          <w:color w:val="auto"/>
          <w:lang w:eastAsia="zh-CN"/>
        </w:rPr>
        <w:t>”</w:t>
      </w:r>
      <w:r>
        <w:rPr>
          <w:rFonts w:hint="default" w:ascii="Times New Roman" w:hAnsi="Times New Roman" w:cs="Times New Roman"/>
          <w:color w:val="auto"/>
        </w:rPr>
        <w:t>；以“村书记后备人才培育十项措施”为主，实施</w:t>
      </w:r>
      <w:r>
        <w:rPr>
          <w:rFonts w:hint="default" w:ascii="Times New Roman" w:hAnsi="Times New Roman" w:cs="Times New Roman"/>
          <w:color w:val="auto"/>
          <w:lang w:eastAsia="zh-CN"/>
        </w:rPr>
        <w:t>“</w:t>
      </w:r>
      <w:r>
        <w:rPr>
          <w:rFonts w:hint="default" w:ascii="Times New Roman" w:hAnsi="Times New Roman" w:cs="Times New Roman"/>
          <w:color w:val="auto"/>
        </w:rPr>
        <w:t>鸿雁奋进强砥柱行动</w:t>
      </w:r>
      <w:r>
        <w:rPr>
          <w:rFonts w:hint="default" w:ascii="Times New Roman" w:hAnsi="Times New Roman" w:cs="Times New Roman"/>
          <w:color w:val="auto"/>
          <w:lang w:eastAsia="zh-CN"/>
        </w:rPr>
        <w:t>”</w:t>
      </w:r>
      <w:r>
        <w:rPr>
          <w:rFonts w:hint="default" w:ascii="Times New Roman" w:hAnsi="Times New Roman" w:cs="Times New Roman"/>
          <w:color w:val="auto"/>
        </w:rPr>
        <w:t>；以30岁以下村干部、“定制村干”为主体，实施</w:t>
      </w:r>
      <w:r>
        <w:rPr>
          <w:rFonts w:hint="default" w:ascii="Times New Roman" w:hAnsi="Times New Roman" w:cs="Times New Roman"/>
          <w:color w:val="auto"/>
          <w:lang w:eastAsia="zh-CN"/>
        </w:rPr>
        <w:t>“</w:t>
      </w:r>
      <w:r>
        <w:rPr>
          <w:rFonts w:hint="default" w:ascii="Times New Roman" w:hAnsi="Times New Roman" w:cs="Times New Roman"/>
          <w:color w:val="auto"/>
        </w:rPr>
        <w:t>雏雁淬炼强定力行动</w:t>
      </w:r>
      <w:r>
        <w:rPr>
          <w:rFonts w:hint="default" w:ascii="Times New Roman" w:hAnsi="Times New Roman" w:cs="Times New Roman"/>
          <w:color w:val="auto"/>
          <w:lang w:eastAsia="zh-CN"/>
        </w:rPr>
        <w:t>”</w:t>
      </w:r>
      <w:r>
        <w:rPr>
          <w:rFonts w:hint="default" w:ascii="Times New Roman" w:hAnsi="Times New Roman" w:cs="Times New Roman"/>
          <w:color w:val="auto"/>
        </w:rPr>
        <w:t>，培育壮大一批带领农业农村现代化建设</w:t>
      </w:r>
      <w:r>
        <w:rPr>
          <w:rFonts w:hint="default" w:ascii="Times New Roman" w:hAnsi="Times New Roman" w:cs="Times New Roman"/>
          <w:color w:val="auto"/>
          <w:lang w:eastAsia="zh-CN"/>
        </w:rPr>
        <w:t>、</w:t>
      </w:r>
      <w:r>
        <w:rPr>
          <w:rFonts w:hint="default" w:ascii="Times New Roman" w:hAnsi="Times New Roman" w:cs="Times New Roman"/>
          <w:color w:val="auto"/>
        </w:rPr>
        <w:t>乡村全面振兴</w:t>
      </w:r>
      <w:r>
        <w:rPr>
          <w:rFonts w:hint="default" w:ascii="Times New Roman" w:hAnsi="Times New Roman" w:cs="Times New Roman"/>
          <w:color w:val="auto"/>
          <w:lang w:val="en-US" w:eastAsia="zh-CN"/>
        </w:rPr>
        <w:t>和</w:t>
      </w:r>
      <w:r>
        <w:rPr>
          <w:rFonts w:hint="default" w:ascii="Times New Roman" w:hAnsi="Times New Roman" w:cs="Times New Roman"/>
          <w:color w:val="auto"/>
        </w:rPr>
        <w:t>农业强区“新农干”阵型。将更多</w:t>
      </w:r>
      <w:r>
        <w:rPr>
          <w:rFonts w:hint="default" w:ascii="Times New Roman" w:hAnsi="Times New Roman" w:cs="Times New Roman"/>
          <w:color w:val="auto"/>
          <w:lang w:eastAsia="zh-CN"/>
        </w:rPr>
        <w:t>“</w:t>
      </w:r>
      <w:r>
        <w:rPr>
          <w:rFonts w:hint="default" w:ascii="Times New Roman" w:hAnsi="Times New Roman" w:cs="Times New Roman"/>
          <w:color w:val="auto"/>
        </w:rPr>
        <w:t>想干事、能干事、干成事</w:t>
      </w:r>
      <w:r>
        <w:rPr>
          <w:rFonts w:hint="default" w:ascii="Times New Roman" w:hAnsi="Times New Roman" w:cs="Times New Roman"/>
          <w:color w:val="auto"/>
          <w:lang w:eastAsia="zh-CN"/>
        </w:rPr>
        <w:t>”</w:t>
      </w:r>
      <w:r>
        <w:rPr>
          <w:rFonts w:hint="default" w:ascii="Times New Roman" w:hAnsi="Times New Roman" w:cs="Times New Roman"/>
          <w:color w:val="auto"/>
        </w:rPr>
        <w:t>的村干部放在村书记岗位，选树典型，形成比拼追赶的良好氛围。配优建强农村基层党组织力量，选拔一批懂经营、会管理、有开拓奉献精神的村党组织书记。</w:t>
      </w:r>
    </w:p>
    <w:p w14:paraId="2FDAEFF2">
      <w:pPr>
        <w:pStyle w:val="3"/>
        <w:pageBreakBefore w:val="0"/>
        <w:wordWrap/>
        <w:overflowPunct/>
        <w:topLinePunct w:val="0"/>
        <w:bidi w:val="0"/>
        <w:ind w:left="0" w:leftChars="0"/>
        <w:rPr>
          <w:rFonts w:hint="default" w:ascii="Times New Roman" w:hAnsi="Times New Roman" w:eastAsia="黑体" w:cs="Times New Roman"/>
          <w:color w:val="auto"/>
          <w:lang w:val="en-US" w:eastAsia="zh-CN"/>
        </w:rPr>
      </w:pPr>
      <w:bookmarkStart w:id="279" w:name="_Toc193816142"/>
      <w:bookmarkStart w:id="280" w:name="_Toc20411"/>
      <w:r>
        <w:rPr>
          <w:rFonts w:hint="default" w:ascii="Times New Roman" w:hAnsi="Times New Roman" w:cs="Times New Roman"/>
          <w:color w:val="auto"/>
        </w:rPr>
        <w:t>二、</w:t>
      </w:r>
      <w:bookmarkEnd w:id="279"/>
      <w:r>
        <w:rPr>
          <w:rFonts w:hint="default" w:ascii="Times New Roman" w:hAnsi="Times New Roman" w:cs="Times New Roman"/>
          <w:color w:val="auto"/>
          <w:lang w:val="en-US" w:eastAsia="zh-CN"/>
        </w:rPr>
        <w:t>优化要素配置</w:t>
      </w:r>
      <w:bookmarkEnd w:id="280"/>
    </w:p>
    <w:p w14:paraId="0C145FC7">
      <w:pPr>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健全完善“县乡共管”“县管乡用、下沉到村”等机制，推动</w:t>
      </w:r>
      <w:r>
        <w:rPr>
          <w:rFonts w:hint="default" w:ascii="Times New Roman" w:hAnsi="Times New Roman" w:cs="Times New Roman"/>
          <w:color w:val="auto"/>
          <w:lang w:val="en-US" w:eastAsia="zh-CN"/>
        </w:rPr>
        <w:t>区</w:t>
      </w:r>
      <w:r>
        <w:rPr>
          <w:rFonts w:hint="default" w:ascii="Times New Roman" w:hAnsi="Times New Roman" w:cs="Times New Roman"/>
          <w:color w:val="auto"/>
        </w:rPr>
        <w:t>域内人才统筹培养使用。持续推进“定制村干”、全科医生特岗计划和农村订单定向医学生等农业农村人才定向委托培养，加强农村法律人才和儿童服务人才培养。加强农业农村科技领军人才、青年人才培养，鼓励符合条件的村干部、农民等报考高职院校，继续实施“一村一名大学生”培育计划。</w:t>
      </w:r>
      <w:r>
        <w:rPr>
          <w:rFonts w:hint="default" w:ascii="Times New Roman" w:hAnsi="Times New Roman" w:cs="Times New Roman"/>
          <w:b w:val="0"/>
          <w:bCs w:val="0"/>
          <w:color w:val="auto"/>
          <w:lang w:eastAsia="zh-CN"/>
        </w:rPr>
        <w:t>多元</w:t>
      </w:r>
      <w:r>
        <w:rPr>
          <w:rFonts w:hint="default" w:ascii="Times New Roman" w:hAnsi="Times New Roman" w:cs="Times New Roman"/>
          <w:b w:val="0"/>
          <w:bCs w:val="0"/>
          <w:color w:val="auto"/>
        </w:rPr>
        <w:t>培育</w:t>
      </w:r>
      <w:r>
        <w:rPr>
          <w:rFonts w:hint="default" w:ascii="Times New Roman" w:hAnsi="Times New Roman" w:cs="Times New Roman"/>
          <w:b w:val="0"/>
          <w:bCs w:val="0"/>
          <w:color w:val="auto"/>
          <w:lang w:val="en-US" w:eastAsia="zh-CN"/>
        </w:rPr>
        <w:t>吸引</w:t>
      </w:r>
      <w:r>
        <w:rPr>
          <w:rFonts w:hint="default" w:ascii="Times New Roman" w:hAnsi="Times New Roman" w:cs="Times New Roman"/>
          <w:b w:val="0"/>
          <w:bCs w:val="0"/>
          <w:color w:val="auto"/>
        </w:rPr>
        <w:t>壮大“新农人”</w:t>
      </w:r>
      <w:r>
        <w:rPr>
          <w:rFonts w:hint="default" w:ascii="Times New Roman" w:hAnsi="Times New Roman" w:cs="Times New Roman"/>
          <w:b w:val="0"/>
          <w:bCs w:val="0"/>
          <w:color w:val="auto"/>
          <w:lang w:eastAsia="zh-CN"/>
        </w:rPr>
        <w:t>。</w:t>
      </w:r>
      <w:r>
        <w:rPr>
          <w:rFonts w:hint="default" w:ascii="Times New Roman" w:hAnsi="Times New Roman" w:cs="Times New Roman"/>
          <w:color w:val="auto"/>
        </w:rPr>
        <w:t>吸引</w:t>
      </w:r>
      <w:r>
        <w:rPr>
          <w:rFonts w:hint="default" w:ascii="Times New Roman" w:hAnsi="Times New Roman" w:cs="Times New Roman"/>
          <w:color w:val="auto"/>
          <w:lang w:val="en-US" w:eastAsia="zh-CN"/>
        </w:rPr>
        <w:t>乡村CEO，</w:t>
      </w:r>
      <w:r>
        <w:rPr>
          <w:rFonts w:hint="default" w:ascii="Times New Roman" w:hAnsi="Times New Roman" w:cs="Times New Roman"/>
          <w:color w:val="auto"/>
        </w:rPr>
        <w:t>加强</w:t>
      </w:r>
      <w:r>
        <w:rPr>
          <w:rFonts w:hint="default" w:ascii="Times New Roman" w:hAnsi="Times New Roman" w:cs="Times New Roman"/>
          <w:color w:val="auto"/>
          <w:lang w:eastAsia="zh-CN"/>
        </w:rPr>
        <w:t>培育</w:t>
      </w:r>
      <w:r>
        <w:rPr>
          <w:rFonts w:hint="default" w:ascii="Times New Roman" w:hAnsi="Times New Roman" w:cs="Times New Roman"/>
          <w:color w:val="auto"/>
        </w:rPr>
        <w:t>农村数字人才、电商人才，吸引优秀乡村</w:t>
      </w:r>
      <w:r>
        <w:rPr>
          <w:rFonts w:hint="default" w:ascii="Times New Roman" w:hAnsi="Times New Roman" w:cs="Times New Roman"/>
          <w:color w:val="auto"/>
          <w:lang w:val="en-US" w:eastAsia="zh-CN"/>
        </w:rPr>
        <w:t>农</w:t>
      </w:r>
      <w:r>
        <w:rPr>
          <w:rFonts w:hint="default" w:ascii="Times New Roman" w:hAnsi="Times New Roman" w:cs="Times New Roman"/>
          <w:color w:val="auto"/>
        </w:rPr>
        <w:t>文旅产业主理人回乡创业，全面提升乡村建设品质和内涵</w:t>
      </w:r>
      <w:r>
        <w:rPr>
          <w:rFonts w:hint="default" w:ascii="Times New Roman" w:hAnsi="Times New Roman" w:cs="Times New Roman"/>
          <w:color w:val="auto"/>
          <w:lang w:eastAsia="zh-CN"/>
        </w:rPr>
        <w:t>；</w:t>
      </w:r>
      <w:r>
        <w:rPr>
          <w:rFonts w:hint="default" w:ascii="Times New Roman" w:hAnsi="Times New Roman" w:cs="Times New Roman"/>
          <w:color w:val="auto"/>
        </w:rPr>
        <w:t>建设乡村公共服务和治理人才队伍。</w:t>
      </w:r>
      <w:bookmarkStart w:id="281" w:name="_Toc1241573084"/>
      <w:bookmarkStart w:id="282" w:name="_Toc484425405"/>
      <w:r>
        <w:rPr>
          <w:rFonts w:hint="default" w:ascii="Times New Roman" w:hAnsi="Times New Roman" w:cs="Times New Roman"/>
          <w:color w:val="auto"/>
        </w:rPr>
        <w:t>建立人才定期服务乡村制度，支持返乡人员、退役军人、退休专家等投身乡村全面振兴，健全区域人才统筹使用制度，推动科技、医疗、教育干部人才“组团式”帮扶。激励各类人才投身乡村，做好返乡入乡人才服务保障工作，将符合条件的返乡创业就业人员纳入涉农培训范围。</w:t>
      </w:r>
    </w:p>
    <w:p w14:paraId="0BD94E63">
      <w:pPr>
        <w:pageBreakBefore w:val="0"/>
        <w:wordWrap/>
        <w:overflowPunct/>
        <w:topLinePunct w:val="0"/>
        <w:bidi w:val="0"/>
        <w:ind w:left="0" w:leftChars="0"/>
        <w:rPr>
          <w:rFonts w:hint="default" w:ascii="Times New Roman" w:hAnsi="Times New Roman" w:cs="Times New Roman"/>
          <w:color w:val="auto"/>
          <w:highlight w:val="none"/>
          <w:lang w:eastAsia="zh-CN"/>
        </w:rPr>
      </w:pPr>
      <w:r>
        <w:rPr>
          <w:rFonts w:hint="default" w:ascii="Times New Roman" w:hAnsi="Times New Roman" w:cs="Times New Roman"/>
          <w:color w:val="auto"/>
          <w:lang w:val="en-US" w:eastAsia="zh-CN"/>
        </w:rPr>
        <w:t>围绕人口布局调整，完善土地供应、财政转移支付等与人口增减挂钩机制，实现公共服务资源利用最优化</w:t>
      </w:r>
      <w:r>
        <w:rPr>
          <w:rFonts w:hint="eastAsia" w:ascii="Times New Roman" w:hAnsi="Times New Roman" w:cs="Times New Roman"/>
          <w:color w:val="auto"/>
          <w:lang w:val="en-US" w:eastAsia="zh-CN"/>
        </w:rPr>
        <w:t>。</w:t>
      </w:r>
      <w:r>
        <w:rPr>
          <w:rFonts w:hint="default" w:ascii="Times New Roman" w:hAnsi="Times New Roman" w:cs="Times New Roman"/>
          <w:color w:val="auto"/>
        </w:rPr>
        <w:t>强化新增用地计划和城乡建设用地增减挂钩</w:t>
      </w:r>
      <w:r>
        <w:rPr>
          <w:rFonts w:hint="default" w:ascii="Times New Roman" w:hAnsi="Times New Roman" w:cs="Times New Roman"/>
          <w:color w:val="auto"/>
          <w:lang w:eastAsia="zh-CN"/>
        </w:rPr>
        <w:t>节余</w:t>
      </w:r>
      <w:r>
        <w:rPr>
          <w:rFonts w:hint="default" w:ascii="Times New Roman" w:hAnsi="Times New Roman" w:cs="Times New Roman"/>
          <w:color w:val="auto"/>
        </w:rPr>
        <w:t>指标统筹安排用于乡村产业发展用地</w:t>
      </w:r>
      <w:r>
        <w:rPr>
          <w:rFonts w:hint="default" w:ascii="Times New Roman" w:hAnsi="Times New Roman" w:cs="Times New Roman"/>
          <w:color w:val="auto"/>
          <w:lang w:eastAsia="zh-CN"/>
        </w:rPr>
        <w:t>，</w:t>
      </w:r>
      <w:r>
        <w:rPr>
          <w:rFonts w:hint="default" w:ascii="Times New Roman" w:hAnsi="Times New Roman" w:cs="Times New Roman"/>
          <w:color w:val="auto"/>
        </w:rPr>
        <w:t>保障计划不低于省下达新增用地计划的5%，城乡建设用地增减挂钩</w:t>
      </w:r>
      <w:r>
        <w:rPr>
          <w:rFonts w:hint="default" w:ascii="Times New Roman" w:hAnsi="Times New Roman" w:cs="Times New Roman"/>
          <w:color w:val="auto"/>
          <w:lang w:eastAsia="zh-CN"/>
        </w:rPr>
        <w:t>节余</w:t>
      </w:r>
      <w:r>
        <w:rPr>
          <w:rFonts w:hint="default" w:ascii="Times New Roman" w:hAnsi="Times New Roman" w:cs="Times New Roman"/>
          <w:color w:val="auto"/>
        </w:rPr>
        <w:t>指标优先保障村民住宅、产业、公共服务设施用地</w:t>
      </w:r>
      <w:r>
        <w:rPr>
          <w:rFonts w:hint="default" w:ascii="Times New Roman" w:hAnsi="Times New Roman" w:cs="Times New Roman"/>
          <w:color w:val="auto"/>
          <w:lang w:eastAsia="zh-CN"/>
        </w:rPr>
        <w:t>，</w:t>
      </w:r>
      <w:r>
        <w:rPr>
          <w:rFonts w:hint="default" w:ascii="Times New Roman" w:hAnsi="Times New Roman" w:cs="Times New Roman"/>
          <w:color w:val="auto"/>
        </w:rPr>
        <w:t>积极沟通，争取更多的用地计划，用于保障</w:t>
      </w:r>
      <w:r>
        <w:rPr>
          <w:rFonts w:hint="default" w:ascii="Times New Roman" w:hAnsi="Times New Roman" w:cs="Times New Roman"/>
          <w:color w:val="auto"/>
          <w:lang w:eastAsia="zh-CN"/>
        </w:rPr>
        <w:t>农村一二三产业融合</w:t>
      </w:r>
      <w:r>
        <w:rPr>
          <w:rFonts w:hint="default" w:ascii="Times New Roman" w:hAnsi="Times New Roman" w:cs="Times New Roman"/>
          <w:color w:val="auto"/>
        </w:rPr>
        <w:t>发展</w:t>
      </w:r>
      <w:r>
        <w:rPr>
          <w:rFonts w:hint="default" w:ascii="Times New Roman" w:hAnsi="Times New Roman" w:cs="Times New Roman"/>
          <w:color w:val="auto"/>
          <w:lang w:eastAsia="zh-CN"/>
        </w:rPr>
        <w:t>。</w:t>
      </w:r>
      <w:bookmarkEnd w:id="281"/>
      <w:bookmarkEnd w:id="282"/>
    </w:p>
    <w:p w14:paraId="0C513FEA">
      <w:pPr>
        <w:pStyle w:val="3"/>
        <w:pageBreakBefore w:val="0"/>
        <w:wordWrap/>
        <w:overflowPunct/>
        <w:topLinePunct w:val="0"/>
        <w:bidi w:val="0"/>
        <w:ind w:left="0" w:leftChars="0"/>
        <w:rPr>
          <w:rFonts w:hint="default" w:ascii="Times New Roman" w:hAnsi="Times New Roman" w:cs="Times New Roman"/>
          <w:color w:val="auto"/>
          <w:lang w:val="en-US"/>
        </w:rPr>
      </w:pPr>
      <w:bookmarkStart w:id="283" w:name="_Toc1882689742"/>
      <w:bookmarkStart w:id="284" w:name="_Toc10573"/>
      <w:r>
        <w:rPr>
          <w:rFonts w:hint="default" w:ascii="Times New Roman" w:hAnsi="Times New Roman" w:cs="Times New Roman"/>
          <w:color w:val="auto"/>
          <w:lang w:val="en-US" w:eastAsia="zh-CN"/>
        </w:rPr>
        <w:t>三、健全融资</w:t>
      </w:r>
      <w:bookmarkEnd w:id="283"/>
      <w:r>
        <w:rPr>
          <w:rFonts w:hint="default" w:ascii="Times New Roman" w:hAnsi="Times New Roman" w:cs="Times New Roman"/>
          <w:color w:val="auto"/>
          <w:lang w:val="en-US" w:eastAsia="zh-CN"/>
        </w:rPr>
        <w:t>机制</w:t>
      </w:r>
      <w:bookmarkEnd w:id="284"/>
    </w:p>
    <w:p w14:paraId="4D4BD624">
      <w:pPr>
        <w:keepNext w:val="0"/>
        <w:keepLines w:val="0"/>
        <w:pageBreakBefore w:val="0"/>
        <w:widowControl w:val="0"/>
        <w:kinsoku/>
        <w:wordWrap/>
        <w:overflowPunct/>
        <w:topLinePunct w:val="0"/>
        <w:autoSpaceDE w:val="0"/>
        <w:autoSpaceDN w:val="0"/>
        <w:bidi w:val="0"/>
        <w:adjustRightInd/>
        <w:snapToGrid w:val="0"/>
        <w:spacing w:line="560" w:lineRule="exact"/>
        <w:ind w:left="0" w:leftChars="0" w:firstLine="624"/>
        <w:textAlignment w:val="auto"/>
        <w:rPr>
          <w:rFonts w:hint="default" w:ascii="Times New Roman" w:hAnsi="Times New Roman" w:eastAsia="仿宋_GB2312" w:cs="Times New Roman"/>
          <w:snapToGrid w:val="0"/>
          <w:color w:val="auto"/>
          <w:kern w:val="0"/>
          <w:sz w:val="32"/>
          <w:szCs w:val="20"/>
          <w:lang w:val="en-US" w:eastAsia="zh-CN"/>
        </w:rPr>
      </w:pPr>
      <w:r>
        <w:rPr>
          <w:rFonts w:hint="default" w:ascii="Times New Roman" w:hAnsi="Times New Roman" w:eastAsia="仿宋_GB2312" w:cs="Times New Roman"/>
          <w:snapToGrid w:val="0"/>
          <w:color w:val="auto"/>
          <w:kern w:val="0"/>
          <w:sz w:val="32"/>
          <w:szCs w:val="20"/>
          <w:lang w:val="en-US" w:eastAsia="zh-CN"/>
        </w:rPr>
        <w:t>健全</w:t>
      </w:r>
      <w:r>
        <w:rPr>
          <w:rFonts w:hint="default" w:ascii="Times New Roman" w:hAnsi="Times New Roman" w:cs="Times New Roman"/>
          <w:snapToGrid w:val="0"/>
          <w:color w:val="auto"/>
          <w:kern w:val="0"/>
          <w:sz w:val="32"/>
          <w:szCs w:val="20"/>
          <w:lang w:val="en-US" w:eastAsia="zh-CN"/>
        </w:rPr>
        <w:t>“</w:t>
      </w:r>
      <w:r>
        <w:rPr>
          <w:rFonts w:hint="default" w:ascii="Times New Roman" w:hAnsi="Times New Roman" w:eastAsia="仿宋_GB2312" w:cs="Times New Roman"/>
          <w:snapToGrid w:val="0"/>
          <w:color w:val="auto"/>
          <w:kern w:val="0"/>
          <w:sz w:val="32"/>
          <w:szCs w:val="20"/>
          <w:lang w:val="en-US" w:eastAsia="zh-CN"/>
        </w:rPr>
        <w:t>财政优先保障、金融重点倾斜、社会积极参与</w:t>
      </w:r>
      <w:r>
        <w:rPr>
          <w:rFonts w:hint="default" w:ascii="Times New Roman" w:hAnsi="Times New Roman" w:cs="Times New Roman"/>
          <w:snapToGrid w:val="0"/>
          <w:color w:val="auto"/>
          <w:kern w:val="0"/>
          <w:sz w:val="32"/>
          <w:szCs w:val="20"/>
          <w:lang w:val="en-US" w:eastAsia="zh-CN"/>
        </w:rPr>
        <w:t>”</w:t>
      </w:r>
      <w:r>
        <w:rPr>
          <w:rFonts w:hint="default" w:ascii="Times New Roman" w:hAnsi="Times New Roman" w:eastAsia="仿宋_GB2312" w:cs="Times New Roman"/>
          <w:snapToGrid w:val="0"/>
          <w:color w:val="auto"/>
          <w:kern w:val="0"/>
          <w:sz w:val="32"/>
          <w:szCs w:val="20"/>
          <w:lang w:val="en-US" w:eastAsia="zh-CN"/>
        </w:rPr>
        <w:t>的多元投入格局</w:t>
      </w:r>
      <w:r>
        <w:rPr>
          <w:rFonts w:hint="default" w:ascii="Times New Roman" w:hAnsi="Times New Roman" w:cs="Times New Roman"/>
          <w:snapToGrid w:val="0"/>
          <w:color w:val="auto"/>
          <w:kern w:val="0"/>
          <w:sz w:val="32"/>
          <w:szCs w:val="20"/>
          <w:lang w:val="en-US" w:eastAsia="zh-CN"/>
        </w:rPr>
        <w:t>，确保农业农村现代化、乡村全面振兴投入力度不断增强。</w:t>
      </w:r>
      <w:r>
        <w:rPr>
          <w:rFonts w:hint="default" w:ascii="Times New Roman" w:hAnsi="Times New Roman" w:eastAsia="仿宋_GB2312" w:cs="Times New Roman"/>
          <w:snapToGrid w:val="0"/>
          <w:color w:val="auto"/>
          <w:kern w:val="0"/>
          <w:sz w:val="32"/>
          <w:szCs w:val="20"/>
          <w:lang w:val="en-US" w:eastAsia="zh-CN"/>
        </w:rPr>
        <w:t>将农业农村作为财政优先投入和金融服务重点支持领域，建立健全财政支农的机制</w:t>
      </w:r>
      <w:r>
        <w:rPr>
          <w:rFonts w:hint="default" w:ascii="Times New Roman" w:hAnsi="Times New Roman" w:cs="Times New Roman"/>
          <w:snapToGrid w:val="0"/>
          <w:color w:val="auto"/>
          <w:kern w:val="0"/>
          <w:sz w:val="32"/>
          <w:szCs w:val="20"/>
          <w:lang w:val="en-US" w:eastAsia="zh-CN"/>
        </w:rPr>
        <w:t>，</w:t>
      </w:r>
      <w:r>
        <w:rPr>
          <w:rFonts w:hint="default" w:ascii="Times New Roman" w:hAnsi="Times New Roman" w:eastAsia="仿宋_GB2312" w:cs="Times New Roman"/>
          <w:snapToGrid w:val="0"/>
          <w:color w:val="auto"/>
          <w:kern w:val="0"/>
          <w:sz w:val="32"/>
          <w:szCs w:val="20"/>
          <w:lang w:val="en-US" w:eastAsia="zh-CN"/>
        </w:rPr>
        <w:t>确保农业农村优先发展</w:t>
      </w:r>
      <w:r>
        <w:rPr>
          <w:rFonts w:hint="default" w:ascii="Times New Roman" w:hAnsi="Times New Roman" w:cs="Times New Roman"/>
          <w:snapToGrid w:val="0"/>
          <w:color w:val="auto"/>
          <w:kern w:val="0"/>
          <w:sz w:val="32"/>
          <w:szCs w:val="20"/>
          <w:lang w:val="en-US" w:eastAsia="zh-CN"/>
        </w:rPr>
        <w:t>，“十五五”期间财政资金支持力度保持稳定，强化</w:t>
      </w:r>
      <w:r>
        <w:rPr>
          <w:rFonts w:hint="default" w:ascii="Times New Roman" w:hAnsi="Times New Roman" w:eastAsia="仿宋_GB2312" w:cs="Times New Roman"/>
          <w:snapToGrid w:val="0"/>
          <w:color w:val="auto"/>
          <w:kern w:val="0"/>
          <w:sz w:val="32"/>
          <w:szCs w:val="20"/>
          <w:lang w:val="en-US" w:eastAsia="zh-CN"/>
        </w:rPr>
        <w:t>财政</w:t>
      </w:r>
      <w:r>
        <w:rPr>
          <w:rFonts w:hint="default" w:ascii="Times New Roman" w:hAnsi="Times New Roman" w:cs="Times New Roman"/>
          <w:snapToGrid w:val="0"/>
          <w:color w:val="auto"/>
          <w:kern w:val="0"/>
          <w:sz w:val="32"/>
          <w:szCs w:val="20"/>
          <w:lang w:val="en-US" w:eastAsia="zh-CN"/>
        </w:rPr>
        <w:t>对农业产业发展的政策支持；鼓励</w:t>
      </w:r>
      <w:r>
        <w:rPr>
          <w:rFonts w:hint="default" w:ascii="Times New Roman" w:hAnsi="Times New Roman" w:eastAsia="仿宋_GB2312" w:cs="Times New Roman"/>
          <w:snapToGrid w:val="0"/>
          <w:color w:val="auto"/>
          <w:kern w:val="0"/>
          <w:sz w:val="32"/>
          <w:szCs w:val="20"/>
          <w:lang w:val="en-US" w:eastAsia="zh-CN"/>
        </w:rPr>
        <w:t>银行</w:t>
      </w:r>
      <w:r>
        <w:rPr>
          <w:rFonts w:hint="default" w:ascii="Times New Roman" w:hAnsi="Times New Roman" w:cs="Times New Roman"/>
          <w:snapToGrid w:val="0"/>
          <w:color w:val="auto"/>
          <w:kern w:val="0"/>
          <w:sz w:val="32"/>
          <w:szCs w:val="20"/>
          <w:lang w:val="en-US" w:eastAsia="zh-CN"/>
        </w:rPr>
        <w:t>、</w:t>
      </w:r>
      <w:r>
        <w:rPr>
          <w:rFonts w:hint="default" w:ascii="Times New Roman" w:hAnsi="Times New Roman" w:eastAsia="仿宋_GB2312" w:cs="Times New Roman"/>
          <w:snapToGrid w:val="0"/>
          <w:color w:val="auto"/>
          <w:kern w:val="0"/>
          <w:sz w:val="32"/>
          <w:szCs w:val="20"/>
          <w:lang w:val="en-US" w:eastAsia="zh-CN"/>
        </w:rPr>
        <w:t>保险</w:t>
      </w:r>
      <w:r>
        <w:rPr>
          <w:rFonts w:hint="default" w:ascii="Times New Roman" w:hAnsi="Times New Roman" w:cs="Times New Roman"/>
          <w:snapToGrid w:val="0"/>
          <w:color w:val="auto"/>
          <w:kern w:val="0"/>
          <w:sz w:val="32"/>
          <w:szCs w:val="20"/>
          <w:lang w:val="en-US" w:eastAsia="zh-CN"/>
        </w:rPr>
        <w:t>等金融部门</w:t>
      </w:r>
      <w:r>
        <w:rPr>
          <w:rFonts w:hint="default" w:ascii="Times New Roman" w:hAnsi="Times New Roman" w:eastAsia="仿宋_GB2312" w:cs="Times New Roman"/>
          <w:snapToGrid w:val="0"/>
          <w:color w:val="auto"/>
          <w:kern w:val="0"/>
          <w:sz w:val="32"/>
          <w:szCs w:val="20"/>
          <w:lang w:val="en-US" w:eastAsia="zh-CN"/>
        </w:rPr>
        <w:t>围绕现代农业发展需求</w:t>
      </w:r>
      <w:r>
        <w:rPr>
          <w:rFonts w:hint="default" w:ascii="Times New Roman" w:hAnsi="Times New Roman" w:cs="Times New Roman"/>
          <w:snapToGrid w:val="0"/>
          <w:color w:val="auto"/>
          <w:kern w:val="0"/>
          <w:sz w:val="32"/>
          <w:szCs w:val="20"/>
          <w:lang w:val="en-US" w:eastAsia="zh-CN"/>
        </w:rPr>
        <w:t>，做好政策性保险工作，</w:t>
      </w:r>
      <w:r>
        <w:rPr>
          <w:rFonts w:hint="default" w:ascii="Times New Roman" w:hAnsi="Times New Roman" w:eastAsia="仿宋_GB2312" w:cs="Times New Roman"/>
          <w:snapToGrid w:val="0"/>
          <w:color w:val="auto"/>
          <w:kern w:val="0"/>
          <w:sz w:val="32"/>
          <w:szCs w:val="20"/>
          <w:lang w:val="en-US" w:eastAsia="zh-CN"/>
        </w:rPr>
        <w:t>在依法合规、风险可控前提下</w:t>
      </w:r>
      <w:r>
        <w:rPr>
          <w:rFonts w:hint="default" w:ascii="Times New Roman" w:hAnsi="Times New Roman" w:cs="Times New Roman"/>
          <w:snapToGrid w:val="0"/>
          <w:color w:val="auto"/>
          <w:kern w:val="0"/>
          <w:sz w:val="32"/>
          <w:szCs w:val="20"/>
          <w:lang w:val="en-US" w:eastAsia="zh-CN"/>
        </w:rPr>
        <w:t>，</w:t>
      </w:r>
      <w:r>
        <w:rPr>
          <w:rFonts w:hint="default" w:ascii="Times New Roman" w:hAnsi="Times New Roman" w:eastAsia="仿宋_GB2312" w:cs="Times New Roman"/>
          <w:snapToGrid w:val="0"/>
          <w:color w:val="auto"/>
          <w:kern w:val="0"/>
          <w:sz w:val="32"/>
          <w:szCs w:val="20"/>
          <w:lang w:val="en-US" w:eastAsia="zh-CN"/>
        </w:rPr>
        <w:t>创新符合农业农村特点的信贷产品</w:t>
      </w:r>
      <w:r>
        <w:rPr>
          <w:rFonts w:hint="default" w:ascii="Times New Roman" w:hAnsi="Times New Roman" w:cs="Times New Roman"/>
          <w:snapToGrid w:val="0"/>
          <w:color w:val="auto"/>
          <w:kern w:val="0"/>
          <w:sz w:val="32"/>
          <w:szCs w:val="20"/>
          <w:lang w:val="en-US" w:eastAsia="zh-CN"/>
        </w:rPr>
        <w:t>和</w:t>
      </w:r>
      <w:r>
        <w:rPr>
          <w:rFonts w:hint="default" w:ascii="Times New Roman" w:hAnsi="Times New Roman" w:eastAsia="仿宋_GB2312" w:cs="Times New Roman"/>
          <w:snapToGrid w:val="0"/>
          <w:color w:val="auto"/>
          <w:kern w:val="0"/>
          <w:sz w:val="32"/>
          <w:szCs w:val="20"/>
          <w:lang w:val="en-US" w:eastAsia="zh-CN"/>
        </w:rPr>
        <w:t>保险产品</w:t>
      </w:r>
      <w:r>
        <w:rPr>
          <w:rFonts w:hint="default" w:ascii="Times New Roman" w:hAnsi="Times New Roman" w:cs="Times New Roman"/>
          <w:snapToGrid w:val="0"/>
          <w:color w:val="auto"/>
          <w:kern w:val="0"/>
          <w:sz w:val="32"/>
          <w:szCs w:val="20"/>
          <w:lang w:val="en-US" w:eastAsia="zh-CN"/>
        </w:rPr>
        <w:t>，</w:t>
      </w:r>
      <w:r>
        <w:rPr>
          <w:rFonts w:hint="default" w:ascii="Times New Roman" w:hAnsi="Times New Roman" w:eastAsia="仿宋_GB2312" w:cs="Times New Roman"/>
          <w:snapToGrid w:val="0"/>
          <w:color w:val="auto"/>
          <w:kern w:val="0"/>
          <w:sz w:val="32"/>
          <w:szCs w:val="20"/>
          <w:lang w:val="en-US" w:eastAsia="zh-CN"/>
        </w:rPr>
        <w:t>打通农业经营主体融资渠道，开展农业设施所有权登记管理，完善农村土地承包经营权权能和农业设施权能，保护农业设施所有权人的合法权益，丰富“三农”贷款抵押、融资保险及增信方式和手段</w:t>
      </w:r>
      <w:r>
        <w:rPr>
          <w:rFonts w:hint="default" w:ascii="Times New Roman" w:hAnsi="Times New Roman" w:cs="Times New Roman"/>
          <w:snapToGrid w:val="0"/>
          <w:color w:val="auto"/>
          <w:kern w:val="0"/>
          <w:sz w:val="32"/>
          <w:szCs w:val="20"/>
          <w:lang w:val="en-US" w:eastAsia="zh-CN"/>
        </w:rPr>
        <w:t>，多种方式探索海门山羊肉等农产品品质保险</w:t>
      </w:r>
      <w:r>
        <w:rPr>
          <w:rFonts w:hint="default" w:ascii="Times New Roman" w:hAnsi="Times New Roman" w:eastAsia="仿宋_GB2312" w:cs="Times New Roman"/>
          <w:snapToGrid w:val="0"/>
          <w:color w:val="auto"/>
          <w:kern w:val="0"/>
          <w:sz w:val="32"/>
          <w:szCs w:val="20"/>
          <w:lang w:val="en-US" w:eastAsia="zh-CN"/>
        </w:rPr>
        <w:t>。稳妥拓展农业</w:t>
      </w:r>
      <w:r>
        <w:rPr>
          <w:rFonts w:hint="default" w:ascii="Times New Roman" w:hAnsi="Times New Roman" w:cs="Times New Roman"/>
          <w:snapToGrid w:val="0"/>
          <w:color w:val="auto"/>
          <w:kern w:val="0"/>
          <w:sz w:val="32"/>
          <w:szCs w:val="20"/>
          <w:lang w:val="en-US" w:eastAsia="zh-CN"/>
        </w:rPr>
        <w:t>农村</w:t>
      </w:r>
      <w:r>
        <w:rPr>
          <w:rFonts w:hint="default" w:ascii="Times New Roman" w:hAnsi="Times New Roman" w:eastAsia="仿宋_GB2312" w:cs="Times New Roman"/>
          <w:snapToGrid w:val="0"/>
          <w:color w:val="auto"/>
          <w:kern w:val="0"/>
          <w:sz w:val="32"/>
          <w:szCs w:val="20"/>
          <w:lang w:val="en-US" w:eastAsia="zh-CN"/>
        </w:rPr>
        <w:t>担保方式</w:t>
      </w:r>
      <w:r>
        <w:rPr>
          <w:rFonts w:hint="default" w:ascii="Times New Roman" w:hAnsi="Times New Roman" w:cs="Times New Roman"/>
          <w:snapToGrid w:val="0"/>
          <w:color w:val="auto"/>
          <w:kern w:val="0"/>
          <w:sz w:val="32"/>
          <w:szCs w:val="20"/>
          <w:lang w:val="en-US" w:eastAsia="zh-CN"/>
        </w:rPr>
        <w:t>，</w:t>
      </w:r>
      <w:r>
        <w:rPr>
          <w:rFonts w:hint="default" w:ascii="Times New Roman" w:hAnsi="Times New Roman" w:eastAsia="仿宋_GB2312" w:cs="Times New Roman"/>
          <w:snapToGrid w:val="0"/>
          <w:color w:val="auto"/>
          <w:kern w:val="0"/>
          <w:sz w:val="32"/>
          <w:szCs w:val="20"/>
          <w:lang w:val="en-US" w:eastAsia="zh-CN"/>
        </w:rPr>
        <w:t>完善政府性融资担保体系</w:t>
      </w:r>
      <w:r>
        <w:rPr>
          <w:rFonts w:hint="default" w:ascii="Times New Roman" w:hAnsi="Times New Roman" w:cs="Times New Roman"/>
          <w:snapToGrid w:val="0"/>
          <w:color w:val="auto"/>
          <w:kern w:val="0"/>
          <w:sz w:val="32"/>
          <w:szCs w:val="20"/>
          <w:lang w:val="en-US" w:eastAsia="zh-CN"/>
        </w:rPr>
        <w:t>，</w:t>
      </w:r>
      <w:r>
        <w:rPr>
          <w:rFonts w:hint="default" w:ascii="Times New Roman" w:hAnsi="Times New Roman" w:eastAsia="仿宋_GB2312" w:cs="Times New Roman"/>
          <w:snapToGrid w:val="0"/>
          <w:color w:val="auto"/>
          <w:kern w:val="0"/>
          <w:sz w:val="32"/>
          <w:szCs w:val="20"/>
          <w:lang w:val="en-US" w:eastAsia="zh-CN"/>
        </w:rPr>
        <w:t>健全农业信贷风险分担和补偿机制</w:t>
      </w:r>
      <w:r>
        <w:rPr>
          <w:rFonts w:hint="default" w:ascii="Times New Roman" w:hAnsi="Times New Roman" w:cs="Times New Roman"/>
          <w:snapToGrid w:val="0"/>
          <w:color w:val="auto"/>
          <w:kern w:val="0"/>
          <w:sz w:val="32"/>
          <w:szCs w:val="20"/>
          <w:lang w:val="en-US" w:eastAsia="zh-CN"/>
        </w:rPr>
        <w:t>，</w:t>
      </w:r>
      <w:r>
        <w:rPr>
          <w:rFonts w:hint="default" w:ascii="Times New Roman" w:hAnsi="Times New Roman" w:eastAsia="仿宋_GB2312" w:cs="Times New Roman"/>
          <w:snapToGrid w:val="0"/>
          <w:color w:val="auto"/>
          <w:kern w:val="0"/>
          <w:sz w:val="32"/>
          <w:szCs w:val="20"/>
          <w:lang w:val="en-US" w:eastAsia="zh-CN"/>
        </w:rPr>
        <w:t>强化财政金融政策协同。发挥财政资金杠杆作用</w:t>
      </w:r>
      <w:r>
        <w:rPr>
          <w:rFonts w:hint="default" w:ascii="Times New Roman" w:hAnsi="Times New Roman" w:cs="Times New Roman"/>
          <w:snapToGrid w:val="0"/>
          <w:color w:val="auto"/>
          <w:kern w:val="0"/>
          <w:sz w:val="32"/>
          <w:szCs w:val="20"/>
          <w:lang w:val="en-US" w:eastAsia="zh-CN"/>
        </w:rPr>
        <w:t>，在建立风险防控机制基础上，</w:t>
      </w:r>
      <w:r>
        <w:rPr>
          <w:rFonts w:hint="default" w:ascii="Times New Roman" w:hAnsi="Times New Roman" w:eastAsia="仿宋_GB2312" w:cs="Times New Roman"/>
          <w:snapToGrid w:val="0"/>
          <w:color w:val="auto"/>
          <w:kern w:val="0"/>
          <w:sz w:val="32"/>
          <w:szCs w:val="20"/>
          <w:lang w:val="en-US" w:eastAsia="zh-CN"/>
        </w:rPr>
        <w:t>引导更多社会资本投向农业农村。</w:t>
      </w:r>
    </w:p>
    <w:p w14:paraId="1F82FF9B">
      <w:pPr>
        <w:pStyle w:val="3"/>
        <w:bidi w:val="0"/>
        <w:rPr>
          <w:rFonts w:hint="default" w:ascii="Times New Roman" w:hAnsi="Times New Roman" w:cs="Times New Roman"/>
          <w:color w:val="auto"/>
        </w:rPr>
      </w:pPr>
      <w:bookmarkStart w:id="285" w:name="_Toc18121"/>
      <w:bookmarkStart w:id="286" w:name="_Toc907329690"/>
      <w:r>
        <w:rPr>
          <w:rFonts w:hint="default" w:ascii="Times New Roman" w:hAnsi="Times New Roman" w:cs="Times New Roman"/>
          <w:color w:val="auto"/>
          <w:lang w:val="en-US" w:eastAsia="zh-CN"/>
        </w:rPr>
        <w:t>四、筑牢安全防线</w:t>
      </w:r>
      <w:bookmarkEnd w:id="285"/>
    </w:p>
    <w:p w14:paraId="6798A5C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auto"/>
          <w:sz w:val="32"/>
          <w:szCs w:val="32"/>
        </w:rPr>
      </w:pPr>
      <w:r>
        <w:rPr>
          <w:rFonts w:hint="default" w:ascii="Times New Roman" w:hAnsi="Times New Roman" w:cs="Times New Roman"/>
          <w:color w:val="auto"/>
          <w:sz w:val="32"/>
          <w:szCs w:val="32"/>
          <w:lang w:val="en-US" w:eastAsia="zh-CN"/>
        </w:rPr>
        <w:t>坚持统筹发展和安全，聚焦农业生产、农产品质量、农村公共及农业生态“四大安全”，全方位筑牢农业农村高质量发展底线。全面推进安全生产“六化”建设，严格落实“三管三必须”要求，压紧压实各方责任，推动公共安全治理模式向事前预防转型。深化“船、港、人”全链条管理，加快渔船设施设备更新改造与渔港提档升级，强化船员素质培训，高质量完成长江“十年禁渔”政治任务；加快淘汰老旧高耗能农机，推广智能监测与安全防护技术，强化农机手技能培训与多部门联合执法，全面提升农业机械化智能化本质安全水平。严厉打击种子、农药、肥料、饲料、兽药等农资领域违法违规行为，</w:t>
      </w:r>
      <w:r>
        <w:rPr>
          <w:rFonts w:hint="default" w:ascii="Times New Roman" w:hAnsi="Times New Roman" w:cs="Times New Roman"/>
          <w:color w:val="auto"/>
        </w:rPr>
        <w:t>规范全环节监管</w:t>
      </w:r>
      <w:r>
        <w:rPr>
          <w:rFonts w:hint="default" w:ascii="Times New Roman" w:hAnsi="Times New Roman" w:cs="Times New Roman"/>
          <w:color w:val="auto"/>
          <w:sz w:val="32"/>
          <w:szCs w:val="32"/>
          <w:lang w:val="en-US" w:eastAsia="zh-CN"/>
        </w:rPr>
        <w:t>；严格落实食品安全“四个最严”要求</w:t>
      </w:r>
      <w:r>
        <w:rPr>
          <w:rFonts w:hint="eastAsia" w:ascii="Times New Roman" w:hAnsi="Times New Roman" w:eastAsia="楷体_GB2312" w:cs="楷体_GB2312"/>
          <w:color w:val="auto"/>
          <w:sz w:val="28"/>
          <w:szCs w:val="28"/>
          <w:lang w:val="en-US" w:eastAsia="zh-CN"/>
        </w:rPr>
        <w:t>（最严谨的标准、最严格的监管、最严厉的处罚、最严肃的问责）</w:t>
      </w:r>
      <w:r>
        <w:rPr>
          <w:rFonts w:hint="default" w:ascii="Times New Roman" w:hAnsi="Times New Roman" w:cs="Times New Roman"/>
          <w:color w:val="auto"/>
          <w:sz w:val="32"/>
          <w:szCs w:val="32"/>
          <w:lang w:val="en-US" w:eastAsia="zh-CN"/>
        </w:rPr>
        <w:t>，健全全程管控体系，坚决守牢“舌尖上的安全”；规范生猪屠宰检疫，强化重大动物疫病和重点人畜共患病联防联控。统筹推进农村公路提档升级、危桥改造及安防工程建设，补齐基础设施安全短板；健全农业自然灾害监测预警、应急响应和防灾减灾体系，加强农田水利和高标准农田抗灾能力建设，推广避灾技术，完善农业保险机制，提升农业抵御自然风险的综合能力。</w:t>
      </w:r>
    </w:p>
    <w:p w14:paraId="4BECA139">
      <w:pPr>
        <w:bidi w:val="0"/>
        <w:rPr>
          <w:rFonts w:hint="default" w:ascii="Times New Roman" w:hAnsi="Times New Roman" w:cs="Times New Roman"/>
          <w:color w:val="auto"/>
          <w:lang w:val="en-US" w:eastAsia="zh-CN"/>
        </w:rPr>
      </w:pPr>
    </w:p>
    <w:p w14:paraId="6371002E">
      <w:pPr>
        <w:bidi w:val="0"/>
        <w:rPr>
          <w:rFonts w:hint="default" w:ascii="Times New Roman" w:hAnsi="Times New Roman" w:cs="Times New Roman"/>
          <w:color w:val="auto"/>
          <w:lang w:val="en-US" w:eastAsia="zh-CN"/>
        </w:rPr>
      </w:pPr>
    </w:p>
    <w:p w14:paraId="3E74E9F2">
      <w:pPr>
        <w:bidi w:val="0"/>
        <w:rPr>
          <w:rFonts w:hint="default" w:ascii="Times New Roman" w:hAnsi="Times New Roman" w:cs="Times New Roman"/>
          <w:color w:val="auto"/>
          <w:lang w:val="en-US" w:eastAsia="zh-CN"/>
        </w:rPr>
      </w:pPr>
    </w:p>
    <w:bookmarkEnd w:id="286"/>
    <w:p w14:paraId="4F8CDE84">
      <w:pPr>
        <w:pageBreakBefore w:val="0"/>
        <w:wordWrap/>
        <w:overflowPunct/>
        <w:topLinePunct w:val="0"/>
        <w:bidi w:val="0"/>
        <w:spacing w:line="360" w:lineRule="auto"/>
        <w:ind w:left="0" w:leftChars="0" w:firstLine="600" w:firstLineChars="200"/>
        <w:jc w:val="both"/>
        <w:rPr>
          <w:rFonts w:hint="default" w:ascii="Times New Roman" w:hAnsi="Times New Roman" w:eastAsia="黑体" w:cs="Times New Roman"/>
          <w:color w:val="auto"/>
          <w:sz w:val="30"/>
          <w:szCs w:val="30"/>
        </w:rPr>
        <w:sectPr>
          <w:pgSz w:w="11906" w:h="16838"/>
          <w:pgMar w:top="2098" w:right="1474" w:bottom="1984" w:left="1587" w:header="510" w:footer="1474" w:gutter="0"/>
          <w:pgNumType w:fmt="decimal"/>
          <w:cols w:space="0" w:num="1"/>
          <w:rtlGutter w:val="0"/>
          <w:docGrid w:type="lines" w:linePitch="326" w:charSpace="0"/>
        </w:sectPr>
      </w:pPr>
    </w:p>
    <w:p w14:paraId="3DCD70E5">
      <w:pPr>
        <w:pStyle w:val="3"/>
        <w:pageBreakBefore w:val="0"/>
        <w:wordWrap/>
        <w:overflowPunct/>
        <w:topLinePunct w:val="0"/>
        <w:bidi w:val="0"/>
        <w:ind w:left="0" w:leftChars="0" w:firstLine="0" w:firstLineChars="0"/>
        <w:rPr>
          <w:rFonts w:hint="default" w:ascii="Times New Roman" w:hAnsi="Times New Roman" w:cs="Times New Roman"/>
          <w:color w:val="auto"/>
        </w:rPr>
      </w:pPr>
      <w:bookmarkStart w:id="287" w:name="_Toc9582"/>
      <w:bookmarkStart w:id="288" w:name="_Toc208722483"/>
      <w:r>
        <w:rPr>
          <w:rFonts w:hint="default" w:ascii="Times New Roman" w:hAnsi="Times New Roman" w:cs="Times New Roman"/>
          <w:color w:val="auto"/>
        </w:rPr>
        <w:t>附件：重点工程</w:t>
      </w:r>
      <w:r>
        <w:rPr>
          <w:rFonts w:hint="default" w:ascii="Times New Roman" w:hAnsi="Times New Roman" w:cs="Times New Roman"/>
          <w:color w:val="auto"/>
          <w:lang w:val="en-US" w:eastAsia="zh-CN"/>
        </w:rPr>
        <w:t>储备</w:t>
      </w:r>
      <w:r>
        <w:rPr>
          <w:rFonts w:hint="default" w:ascii="Times New Roman" w:hAnsi="Times New Roman" w:cs="Times New Roman"/>
          <w:color w:val="auto"/>
        </w:rPr>
        <w:t>项目</w:t>
      </w:r>
      <w:bookmarkEnd w:id="287"/>
      <w:bookmarkEnd w:id="288"/>
    </w:p>
    <w:p w14:paraId="1B0E4109">
      <w:pPr>
        <w:pStyle w:val="41"/>
        <w:pageBreakBefore w:val="0"/>
        <w:wordWrap/>
        <w:overflowPunct/>
        <w:topLinePunct w:val="0"/>
        <w:bidi w:val="0"/>
        <w:ind w:left="0" w:leftChars="0"/>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4</w:t>
      </w:r>
      <w:r>
        <w:rPr>
          <w:rFonts w:hint="default" w:ascii="Times New Roman" w:hAnsi="Times New Roman" w:cs="Times New Roman"/>
          <w:color w:val="auto"/>
        </w:rPr>
        <w:t xml:space="preserve"> “十五五”期间重点</w:t>
      </w:r>
      <w:r>
        <w:rPr>
          <w:rFonts w:hint="default" w:ascii="Times New Roman" w:hAnsi="Times New Roman" w:cs="Times New Roman"/>
          <w:color w:val="auto"/>
          <w:lang w:val="en-US" w:eastAsia="zh-CN"/>
        </w:rPr>
        <w:t>储备</w:t>
      </w:r>
      <w:r>
        <w:rPr>
          <w:rFonts w:hint="default" w:ascii="Times New Roman" w:hAnsi="Times New Roman" w:cs="Times New Roman"/>
          <w:color w:val="auto"/>
        </w:rPr>
        <w:t>项目</w:t>
      </w:r>
    </w:p>
    <w:p w14:paraId="5F81866D">
      <w:pPr>
        <w:pStyle w:val="41"/>
        <w:pageBreakBefore w:val="0"/>
        <w:wordWrap/>
        <w:overflowPunct/>
        <w:topLinePunct w:val="0"/>
        <w:bidi w:val="0"/>
        <w:ind w:left="0" w:leftChars="0"/>
        <w:jc w:val="right"/>
        <w:rPr>
          <w:rFonts w:hint="default" w:ascii="Times New Roman" w:hAnsi="Times New Roman" w:eastAsia="黑体" w:cs="Times New Roman"/>
          <w:color w:val="auto"/>
          <w:lang w:val="en-US" w:eastAsia="zh-CN"/>
        </w:rPr>
      </w:pPr>
      <w:r>
        <w:rPr>
          <w:rFonts w:hint="default" w:ascii="Times New Roman" w:hAnsi="Times New Roman" w:cs="Times New Roman"/>
          <w:color w:val="auto"/>
          <w:sz w:val="24"/>
          <w:szCs w:val="24"/>
          <w:lang w:val="en-US" w:eastAsia="zh-CN"/>
        </w:rPr>
        <w:t>单位：万元</w:t>
      </w:r>
    </w:p>
    <w:tbl>
      <w:tblPr>
        <w:tblStyle w:val="24"/>
        <w:tblW w:w="129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0"/>
        <w:gridCol w:w="645"/>
        <w:gridCol w:w="2191"/>
        <w:gridCol w:w="792"/>
        <w:gridCol w:w="859"/>
        <w:gridCol w:w="7975"/>
      </w:tblGrid>
      <w:tr w14:paraId="25FD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0" w:hRule="atLeast"/>
          <w:tblHeader/>
          <w:jc w:val="center"/>
        </w:trPr>
        <w:tc>
          <w:tcPr>
            <w:tcW w:w="530" w:type="dxa"/>
            <w:vMerge w:val="restart"/>
            <w:tcBorders>
              <w:tl2br w:val="nil"/>
            </w:tcBorders>
            <w:shd w:val="clear" w:color="auto" w:fill="F1F1F1" w:themeFill="background1" w:themeFillShade="F2"/>
            <w:vAlign w:val="center"/>
          </w:tcPr>
          <w:p w14:paraId="40D205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黑体" w:cs="Times New Roman"/>
                <w:color w:val="auto"/>
                <w:sz w:val="21"/>
                <w:szCs w:val="21"/>
              </w:rPr>
            </w:pPr>
            <w:bookmarkStart w:id="289" w:name="_Toc1334544193"/>
            <w:bookmarkStart w:id="290" w:name="_Toc1607065123"/>
            <w:r>
              <w:rPr>
                <w:rFonts w:hint="default" w:ascii="Times New Roman" w:hAnsi="Times New Roman" w:eastAsia="黑体" w:cs="Times New Roman"/>
                <w:color w:val="auto"/>
                <w:sz w:val="21"/>
                <w:szCs w:val="21"/>
              </w:rPr>
              <w:t>序</w:t>
            </w:r>
          </w:p>
          <w:p w14:paraId="741032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号</w:t>
            </w:r>
            <w:bookmarkEnd w:id="289"/>
            <w:bookmarkEnd w:id="290"/>
          </w:p>
        </w:tc>
        <w:tc>
          <w:tcPr>
            <w:tcW w:w="645" w:type="dxa"/>
            <w:vMerge w:val="restart"/>
            <w:shd w:val="clear" w:color="auto" w:fill="F1F1F1" w:themeFill="background1" w:themeFillShade="F2"/>
            <w:vAlign w:val="center"/>
          </w:tcPr>
          <w:p w14:paraId="4DB6F0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黑体" w:cs="Times New Roman"/>
                <w:color w:val="auto"/>
                <w:sz w:val="21"/>
                <w:szCs w:val="21"/>
                <w:lang w:val="en-US" w:eastAsia="zh-CN"/>
              </w:rPr>
            </w:pPr>
            <w:bookmarkStart w:id="291" w:name="_Toc1365042483"/>
            <w:bookmarkStart w:id="292" w:name="_Toc1041693942"/>
            <w:r>
              <w:rPr>
                <w:rFonts w:hint="default" w:ascii="Times New Roman" w:hAnsi="Times New Roman" w:eastAsia="黑体" w:cs="Times New Roman"/>
                <w:color w:val="auto"/>
                <w:sz w:val="21"/>
                <w:szCs w:val="21"/>
                <w:lang w:val="en-US" w:eastAsia="zh-CN"/>
              </w:rPr>
              <w:t>工程项目类别</w:t>
            </w:r>
          </w:p>
        </w:tc>
        <w:tc>
          <w:tcPr>
            <w:tcW w:w="2191" w:type="dxa"/>
            <w:vMerge w:val="restart"/>
            <w:shd w:val="clear" w:color="auto" w:fill="F1F1F1" w:themeFill="background1" w:themeFillShade="F2"/>
            <w:vAlign w:val="center"/>
          </w:tcPr>
          <w:p w14:paraId="6C2563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名称</w:t>
            </w:r>
            <w:bookmarkEnd w:id="291"/>
            <w:bookmarkEnd w:id="292"/>
          </w:p>
        </w:tc>
        <w:tc>
          <w:tcPr>
            <w:tcW w:w="1651" w:type="dxa"/>
            <w:gridSpan w:val="2"/>
            <w:shd w:val="clear" w:color="auto" w:fill="F1F1F1" w:themeFill="background1" w:themeFillShade="F2"/>
            <w:vAlign w:val="center"/>
          </w:tcPr>
          <w:p w14:paraId="67E06B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黑体" w:cs="Times New Roman"/>
                <w:color w:val="auto"/>
                <w:sz w:val="21"/>
                <w:szCs w:val="21"/>
              </w:rPr>
            </w:pPr>
            <w:bookmarkStart w:id="293" w:name="_Toc701210880"/>
            <w:bookmarkStart w:id="294" w:name="_Toc1463392850"/>
            <w:r>
              <w:rPr>
                <w:rFonts w:hint="default" w:ascii="Times New Roman" w:hAnsi="Times New Roman" w:eastAsia="黑体" w:cs="Times New Roman"/>
                <w:color w:val="auto"/>
                <w:sz w:val="21"/>
                <w:szCs w:val="21"/>
              </w:rPr>
              <w:t>投入来源和</w:t>
            </w:r>
          </w:p>
          <w:p w14:paraId="5DDD10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投入量</w:t>
            </w:r>
            <w:bookmarkEnd w:id="293"/>
            <w:bookmarkEnd w:id="294"/>
          </w:p>
        </w:tc>
        <w:tc>
          <w:tcPr>
            <w:tcW w:w="7975" w:type="dxa"/>
            <w:vMerge w:val="restart"/>
            <w:shd w:val="clear" w:color="auto" w:fill="F1F1F1" w:themeFill="background1" w:themeFillShade="F2"/>
            <w:vAlign w:val="center"/>
          </w:tcPr>
          <w:p w14:paraId="1E72D8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黑体" w:cs="Times New Roman"/>
                <w:color w:val="auto"/>
                <w:sz w:val="21"/>
                <w:szCs w:val="21"/>
              </w:rPr>
            </w:pPr>
            <w:bookmarkStart w:id="295" w:name="_Toc380369104"/>
            <w:bookmarkStart w:id="296" w:name="_Toc1446382324"/>
            <w:r>
              <w:rPr>
                <w:rFonts w:hint="default" w:ascii="Times New Roman" w:hAnsi="Times New Roman" w:eastAsia="黑体" w:cs="Times New Roman"/>
                <w:color w:val="auto"/>
                <w:sz w:val="21"/>
                <w:szCs w:val="21"/>
              </w:rPr>
              <w:t>相关描述</w:t>
            </w:r>
            <w:bookmarkEnd w:id="295"/>
            <w:bookmarkEnd w:id="296"/>
          </w:p>
        </w:tc>
      </w:tr>
      <w:tr w14:paraId="1D62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3" w:hRule="atLeast"/>
          <w:tblHeader/>
          <w:jc w:val="center"/>
        </w:trPr>
        <w:tc>
          <w:tcPr>
            <w:tcW w:w="530" w:type="dxa"/>
            <w:vMerge w:val="continue"/>
            <w:tcBorders>
              <w:tl2br w:val="nil"/>
            </w:tcBorders>
            <w:shd w:val="clear" w:color="auto" w:fill="auto"/>
            <w:vAlign w:val="center"/>
          </w:tcPr>
          <w:p w14:paraId="0D05FD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645" w:type="dxa"/>
            <w:vMerge w:val="continue"/>
            <w:shd w:val="clear" w:color="auto" w:fill="auto"/>
            <w:vAlign w:val="center"/>
          </w:tcPr>
          <w:p w14:paraId="719EFC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vMerge w:val="continue"/>
            <w:shd w:val="clear" w:color="auto" w:fill="auto"/>
            <w:vAlign w:val="center"/>
          </w:tcPr>
          <w:p w14:paraId="6058FE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792" w:type="dxa"/>
            <w:shd w:val="clear" w:color="auto" w:fill="F1F1F1" w:themeFill="background1" w:themeFillShade="F2"/>
            <w:vAlign w:val="center"/>
          </w:tcPr>
          <w:p w14:paraId="644A9A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黑体" w:cs="Times New Roman"/>
                <w:color w:val="auto"/>
                <w:sz w:val="21"/>
                <w:szCs w:val="21"/>
              </w:rPr>
            </w:pPr>
            <w:bookmarkStart w:id="297" w:name="_Toc1952197456"/>
            <w:bookmarkStart w:id="298" w:name="_Toc1980319075"/>
            <w:r>
              <w:rPr>
                <w:rFonts w:hint="default" w:ascii="Times New Roman" w:hAnsi="Times New Roman" w:eastAsia="黑体" w:cs="Times New Roman"/>
                <w:color w:val="auto"/>
                <w:sz w:val="21"/>
                <w:szCs w:val="21"/>
              </w:rPr>
              <w:t>财政投入</w:t>
            </w:r>
            <w:bookmarkEnd w:id="297"/>
            <w:bookmarkEnd w:id="298"/>
          </w:p>
        </w:tc>
        <w:tc>
          <w:tcPr>
            <w:tcW w:w="859" w:type="dxa"/>
            <w:shd w:val="clear" w:color="auto" w:fill="F1F1F1" w:themeFill="background1" w:themeFillShade="F2"/>
            <w:vAlign w:val="center"/>
          </w:tcPr>
          <w:p w14:paraId="145017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黑体" w:cs="Times New Roman"/>
                <w:color w:val="auto"/>
                <w:sz w:val="21"/>
                <w:szCs w:val="21"/>
              </w:rPr>
            </w:pPr>
            <w:bookmarkStart w:id="299" w:name="_Toc1327484126"/>
            <w:bookmarkStart w:id="300" w:name="_Toc1521132319"/>
            <w:r>
              <w:rPr>
                <w:rFonts w:hint="default" w:ascii="Times New Roman" w:hAnsi="Times New Roman" w:eastAsia="黑体" w:cs="Times New Roman"/>
                <w:color w:val="auto"/>
                <w:sz w:val="21"/>
                <w:szCs w:val="21"/>
              </w:rPr>
              <w:t>社会</w:t>
            </w:r>
          </w:p>
          <w:p w14:paraId="77FDC1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资本</w:t>
            </w:r>
            <w:bookmarkEnd w:id="299"/>
            <w:bookmarkEnd w:id="300"/>
          </w:p>
        </w:tc>
        <w:tc>
          <w:tcPr>
            <w:tcW w:w="7975" w:type="dxa"/>
            <w:vMerge w:val="continue"/>
            <w:shd w:val="clear" w:color="auto" w:fill="auto"/>
            <w:vAlign w:val="center"/>
          </w:tcPr>
          <w:p w14:paraId="6B58EB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r>
      <w:tr w14:paraId="5BE2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84" w:hRule="atLeast"/>
          <w:jc w:val="center"/>
        </w:trPr>
        <w:tc>
          <w:tcPr>
            <w:tcW w:w="530" w:type="dxa"/>
            <w:shd w:val="clear" w:color="auto" w:fill="auto"/>
            <w:vAlign w:val="center"/>
          </w:tcPr>
          <w:p w14:paraId="1D45F7D7">
            <w:pPr>
              <w:keepNext w:val="0"/>
              <w:keepLines w:val="0"/>
              <w:suppressLineNumbers w:val="0"/>
              <w:spacing w:before="0" w:beforeAutospacing="0" w:after="0" w:afterAutospacing="0"/>
              <w:ind w:left="0" w:right="0" w:firstLine="640" w:firstLineChars="200"/>
              <w:jc w:val="center"/>
              <w:rPr>
                <w:rFonts w:hint="default" w:ascii="Times New Roman" w:hAnsi="Times New Roman" w:eastAsia="仿宋_GB2312" w:cs="Times New Roman"/>
                <w:color w:val="auto"/>
                <w:sz w:val="32"/>
                <w:szCs w:val="24"/>
                <w:vertAlign w:val="baseline"/>
                <w:lang w:val="en-US" w:eastAsia="zh-CN" w:bidi="ar-SA"/>
              </w:rPr>
            </w:pPr>
            <w:bookmarkStart w:id="301" w:name="_Toc2145922562"/>
            <w:bookmarkStart w:id="302" w:name="_Toc1578447908"/>
            <w:r>
              <w:rPr>
                <w:rFonts w:hint="default" w:ascii="Times New Roman" w:hAnsi="Times New Roman" w:cs="Times New Roman"/>
                <w:color w:val="auto"/>
                <w:vertAlign w:val="baseline"/>
                <w:lang w:val="en-US" w:eastAsia="zh-CN"/>
              </w:rPr>
              <w:t>1</w:t>
            </w:r>
            <w:r>
              <w:rPr>
                <w:rFonts w:hint="default" w:ascii="Times New Roman" w:hAnsi="Times New Roman" w:eastAsia="宋体" w:cs="Times New Roman"/>
                <w:color w:val="auto"/>
                <w:sz w:val="21"/>
                <w:szCs w:val="21"/>
                <w:lang w:val="en-US" w:eastAsia="zh-CN"/>
              </w:rPr>
              <w:t>1</w:t>
            </w:r>
          </w:p>
        </w:tc>
        <w:tc>
          <w:tcPr>
            <w:tcW w:w="645" w:type="dxa"/>
            <w:vMerge w:val="restart"/>
            <w:shd w:val="clear" w:color="auto" w:fill="auto"/>
            <w:vAlign w:val="center"/>
          </w:tcPr>
          <w:p w14:paraId="4485D2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农业提质</w:t>
            </w:r>
          </w:p>
          <w:p w14:paraId="7C3F06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增效</w:t>
            </w:r>
          </w:p>
          <w:p w14:paraId="171680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强基</w:t>
            </w:r>
          </w:p>
          <w:p w14:paraId="1B43DF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工程</w:t>
            </w:r>
          </w:p>
        </w:tc>
        <w:tc>
          <w:tcPr>
            <w:tcW w:w="2191" w:type="dxa"/>
            <w:shd w:val="clear" w:color="auto" w:fill="auto"/>
            <w:vAlign w:val="center"/>
          </w:tcPr>
          <w:p w14:paraId="2902D6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成品仓提升改造项目</w:t>
            </w:r>
          </w:p>
        </w:tc>
        <w:tc>
          <w:tcPr>
            <w:tcW w:w="792" w:type="dxa"/>
            <w:shd w:val="clear" w:color="auto" w:fill="auto"/>
            <w:vAlign w:val="center"/>
          </w:tcPr>
          <w:p w14:paraId="5630C0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1300</w:t>
            </w:r>
          </w:p>
        </w:tc>
        <w:tc>
          <w:tcPr>
            <w:tcW w:w="859" w:type="dxa"/>
            <w:shd w:val="clear" w:color="auto" w:fill="auto"/>
            <w:vAlign w:val="center"/>
          </w:tcPr>
          <w:p w14:paraId="4B276B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bidi="ar-SA"/>
              </w:rPr>
              <w:t>---</w:t>
            </w:r>
          </w:p>
        </w:tc>
        <w:tc>
          <w:tcPr>
            <w:tcW w:w="7975" w:type="dxa"/>
            <w:shd w:val="clear" w:color="auto" w:fill="auto"/>
            <w:vAlign w:val="center"/>
          </w:tcPr>
          <w:p w14:paraId="3B44E1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对现有4个原粮仓房进行提升改造，并配备货架及现代化进出库设施设备，形成约1500吨低温成品仓。通过项目设施，构建适配应急保供需求的现代化成品粮仓储管理体系，切实提升我区成品粮储备仓储设施条件，保障成品粮数量真实、质量良好、储存安全、调用顺畅。</w:t>
            </w:r>
          </w:p>
        </w:tc>
      </w:tr>
      <w:tr w14:paraId="29D8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89" w:hRule="atLeast"/>
          <w:jc w:val="center"/>
        </w:trPr>
        <w:tc>
          <w:tcPr>
            <w:tcW w:w="530" w:type="dxa"/>
            <w:shd w:val="clear" w:color="auto" w:fill="auto"/>
            <w:vAlign w:val="center"/>
          </w:tcPr>
          <w:p w14:paraId="116137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645" w:type="dxa"/>
            <w:vMerge w:val="continue"/>
            <w:shd w:val="clear" w:color="auto" w:fill="auto"/>
            <w:vAlign w:val="center"/>
          </w:tcPr>
          <w:p w14:paraId="3A1659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宋体" w:cs="Times New Roman"/>
                <w:color w:val="auto"/>
                <w:sz w:val="21"/>
                <w:szCs w:val="21"/>
                <w:lang w:val="en-US" w:eastAsia="zh-CN"/>
              </w:rPr>
            </w:pPr>
          </w:p>
        </w:tc>
        <w:tc>
          <w:tcPr>
            <w:tcW w:w="2191" w:type="dxa"/>
            <w:shd w:val="clear" w:color="auto" w:fill="auto"/>
            <w:vAlign w:val="center"/>
          </w:tcPr>
          <w:p w14:paraId="02F8AA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地方特色种质资源</w:t>
            </w:r>
          </w:p>
          <w:p w14:paraId="07B845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保护与利用项目</w:t>
            </w:r>
          </w:p>
        </w:tc>
        <w:tc>
          <w:tcPr>
            <w:tcW w:w="792" w:type="dxa"/>
            <w:shd w:val="clear" w:color="auto" w:fill="auto"/>
            <w:vAlign w:val="center"/>
          </w:tcPr>
          <w:p w14:paraId="75EA8F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980</w:t>
            </w:r>
          </w:p>
        </w:tc>
        <w:tc>
          <w:tcPr>
            <w:tcW w:w="859" w:type="dxa"/>
            <w:shd w:val="clear" w:color="auto" w:fill="auto"/>
            <w:vAlign w:val="center"/>
          </w:tcPr>
          <w:p w14:paraId="5737B2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w:t>
            </w:r>
          </w:p>
        </w:tc>
        <w:tc>
          <w:tcPr>
            <w:tcW w:w="7975" w:type="dxa"/>
            <w:shd w:val="clear" w:color="auto" w:fill="auto"/>
            <w:vAlign w:val="center"/>
          </w:tcPr>
          <w:p w14:paraId="477948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系统推进海门香沙芋艿，香芋，小寒王毛豆，海蜜甜瓜等地方特色作物种质资源的收集保存与创新利用，重点建设海门地方种质资源创新利用中心，升级种子质量检测实验室，配套PCR扩增仪，光照培养箱等关键设备，提升种子纯度，净度与芽率检测能力；推进种苗生产设施提档升级，引入全自动播种流水线，水肥一体机与风机盘管系统，构建节能高效的育苗生产模式；持续开展海门山羊种质资源保护，提纯复壮与健康养殖技术研发，加强沙乌头猪种质资源保护，种群扩繁与市场化开发，全面提升区域特色种业综合生产能力与资源可持续利用水平</w:t>
            </w:r>
            <w:r>
              <w:rPr>
                <w:rFonts w:hint="default" w:ascii="Times New Roman" w:hAnsi="Times New Roman" w:eastAsia="宋体" w:cs="Times New Roman"/>
                <w:color w:val="auto"/>
                <w:sz w:val="21"/>
                <w:szCs w:val="21"/>
                <w:lang w:eastAsia="zh-CN"/>
              </w:rPr>
              <w:t>。</w:t>
            </w:r>
          </w:p>
        </w:tc>
      </w:tr>
      <w:tr w14:paraId="0E53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28" w:hRule="atLeast"/>
          <w:jc w:val="center"/>
        </w:trPr>
        <w:tc>
          <w:tcPr>
            <w:tcW w:w="530" w:type="dxa"/>
            <w:shd w:val="clear" w:color="auto" w:fill="auto"/>
            <w:vAlign w:val="center"/>
          </w:tcPr>
          <w:p w14:paraId="79646C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645" w:type="dxa"/>
            <w:vMerge w:val="continue"/>
            <w:shd w:val="clear" w:color="auto" w:fill="auto"/>
            <w:vAlign w:val="center"/>
          </w:tcPr>
          <w:p w14:paraId="2EE52B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5938F2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海门山羊全产业链</w:t>
            </w:r>
          </w:p>
          <w:p w14:paraId="42B320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发展项目</w:t>
            </w:r>
          </w:p>
        </w:tc>
        <w:tc>
          <w:tcPr>
            <w:tcW w:w="792" w:type="dxa"/>
            <w:shd w:val="clear" w:color="auto" w:fill="auto"/>
            <w:vAlign w:val="center"/>
          </w:tcPr>
          <w:p w14:paraId="352325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340</w:t>
            </w:r>
          </w:p>
        </w:tc>
        <w:tc>
          <w:tcPr>
            <w:tcW w:w="859" w:type="dxa"/>
            <w:shd w:val="clear" w:color="auto" w:fill="auto"/>
            <w:vAlign w:val="center"/>
          </w:tcPr>
          <w:p w14:paraId="032FEB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3000</w:t>
            </w:r>
          </w:p>
        </w:tc>
        <w:tc>
          <w:tcPr>
            <w:tcW w:w="7975" w:type="dxa"/>
            <w:shd w:val="clear" w:color="auto" w:fill="auto"/>
            <w:vAlign w:val="center"/>
          </w:tcPr>
          <w:p w14:paraId="13A5EB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通过构建覆盖养殖，屠宰，加工到销售的全产业链扶持体系，严格执行从养殖场到餐桌的</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六统一</w:t>
            </w:r>
            <w:r>
              <w:rPr>
                <w:rFonts w:hint="default" w:ascii="Times New Roman" w:hAnsi="Times New Roman" w:eastAsia="宋体" w:cs="Times New Roman"/>
                <w:color w:val="auto"/>
                <w:sz w:val="21"/>
                <w:szCs w:val="21"/>
                <w:lang w:eastAsia="zh-CN"/>
              </w:rPr>
              <w:t>”（统一品种、统一防疫、统一营养、统一屠宰、统一加工、统一品牌）</w:t>
            </w:r>
            <w:r>
              <w:rPr>
                <w:rFonts w:hint="default" w:ascii="Times New Roman" w:hAnsi="Times New Roman" w:eastAsia="宋体" w:cs="Times New Roman"/>
                <w:color w:val="auto"/>
                <w:sz w:val="21"/>
                <w:szCs w:val="21"/>
              </w:rPr>
              <w:t>管理标准，重点推动标准化规模养殖，规范屠宰及全程可追溯机制，强化品牌授权与分级运营，示范应用智能水培牧草等新技术，持续推动海门山羊地理标志产品的冠名与贯标工作，进一步扶持，发展和壮大海门山羊特色优势产业，全面提升优质山羊的综合生产能力，精深加工水平与品牌营销能力，全力延伸产业链条，推动海门山羊全产业链提质增效与可持续发展</w:t>
            </w:r>
            <w:r>
              <w:rPr>
                <w:rFonts w:hint="default" w:ascii="Times New Roman" w:hAnsi="Times New Roman" w:eastAsia="宋体" w:cs="Times New Roman"/>
                <w:color w:val="auto"/>
                <w:sz w:val="21"/>
                <w:szCs w:val="21"/>
                <w:lang w:eastAsia="zh-CN"/>
              </w:rPr>
              <w:t>。</w:t>
            </w:r>
          </w:p>
        </w:tc>
      </w:tr>
      <w:tr w14:paraId="2886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1" w:hRule="atLeast"/>
          <w:jc w:val="center"/>
        </w:trPr>
        <w:tc>
          <w:tcPr>
            <w:tcW w:w="530" w:type="dxa"/>
            <w:shd w:val="clear" w:color="auto" w:fill="auto"/>
            <w:vAlign w:val="center"/>
          </w:tcPr>
          <w:p w14:paraId="283B5B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645" w:type="dxa"/>
            <w:vMerge w:val="continue"/>
            <w:shd w:val="clear" w:color="auto" w:fill="auto"/>
            <w:vAlign w:val="center"/>
          </w:tcPr>
          <w:p w14:paraId="494DEE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659E2A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重大动物疫病</w:t>
            </w:r>
          </w:p>
          <w:p w14:paraId="31416B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防控项目</w:t>
            </w:r>
          </w:p>
        </w:tc>
        <w:tc>
          <w:tcPr>
            <w:tcW w:w="792" w:type="dxa"/>
            <w:shd w:val="clear" w:color="auto" w:fill="auto"/>
            <w:vAlign w:val="center"/>
          </w:tcPr>
          <w:p w14:paraId="2C454B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900</w:t>
            </w:r>
          </w:p>
        </w:tc>
        <w:tc>
          <w:tcPr>
            <w:tcW w:w="859" w:type="dxa"/>
            <w:shd w:val="clear" w:color="auto" w:fill="auto"/>
            <w:vAlign w:val="center"/>
          </w:tcPr>
          <w:p w14:paraId="76F05F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w:t>
            </w:r>
          </w:p>
        </w:tc>
        <w:tc>
          <w:tcPr>
            <w:tcW w:w="7975" w:type="dxa"/>
            <w:shd w:val="clear" w:color="auto" w:fill="auto"/>
            <w:vAlign w:val="center"/>
          </w:tcPr>
          <w:p w14:paraId="518A22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通过系统实施强制免疫，监测预警和应急消杀等综合措施，有效防范高致病性禽流感，口蹄疫等重大动物疫病风险。全面推进养殖场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先打后补</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政策，对符合条件的场户予以资金补助；开展流行病学调查与净化场监测，提升疫情预警能力；并通过采购发放消毒药物，全面落实</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三灭四消</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行动，彻底杀灭病原，阻断传播途径。起到筑牢我区畜牧业防疫屏障，保障生产安全，维护公共卫生安全和稳定市场供给的核心作用</w:t>
            </w:r>
            <w:r>
              <w:rPr>
                <w:rFonts w:hint="default" w:ascii="Times New Roman" w:hAnsi="Times New Roman" w:eastAsia="宋体" w:cs="Times New Roman"/>
                <w:color w:val="auto"/>
                <w:sz w:val="21"/>
                <w:szCs w:val="21"/>
                <w:lang w:eastAsia="zh-CN"/>
              </w:rPr>
              <w:t>。</w:t>
            </w:r>
          </w:p>
        </w:tc>
      </w:tr>
      <w:tr w14:paraId="7AF2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30" w:type="dxa"/>
            <w:shd w:val="clear" w:color="auto" w:fill="auto"/>
            <w:vAlign w:val="center"/>
          </w:tcPr>
          <w:p w14:paraId="3639C6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645" w:type="dxa"/>
            <w:vMerge w:val="continue"/>
            <w:shd w:val="clear" w:color="auto" w:fill="auto"/>
            <w:vAlign w:val="center"/>
          </w:tcPr>
          <w:p w14:paraId="6C65CC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61A9B8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畜禽养殖</w:t>
            </w:r>
          </w:p>
          <w:p w14:paraId="7DA0CC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改造项目</w:t>
            </w:r>
          </w:p>
        </w:tc>
        <w:tc>
          <w:tcPr>
            <w:tcW w:w="792" w:type="dxa"/>
            <w:shd w:val="clear" w:color="auto" w:fill="auto"/>
            <w:vAlign w:val="center"/>
          </w:tcPr>
          <w:p w14:paraId="67446E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1800</w:t>
            </w:r>
          </w:p>
        </w:tc>
        <w:tc>
          <w:tcPr>
            <w:tcW w:w="859" w:type="dxa"/>
            <w:shd w:val="clear" w:color="auto" w:fill="auto"/>
            <w:vAlign w:val="center"/>
          </w:tcPr>
          <w:p w14:paraId="369FB8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4200</w:t>
            </w:r>
          </w:p>
        </w:tc>
        <w:tc>
          <w:tcPr>
            <w:tcW w:w="7975" w:type="dxa"/>
            <w:shd w:val="clear" w:color="auto" w:fill="auto"/>
            <w:vAlign w:val="center"/>
          </w:tcPr>
          <w:p w14:paraId="03AE97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改建3栋5层楼的种鸡舍，并匹配相应的设施设备。用于开展白羽肉鸡遗传素材收集，品系培育，疾病净化和扩繁推广，初步形成10万套核心群的存栏规模。通过项目实施，破解我省白羽肉鸡种业瓶颈，助力公司共建的中国肉鸡种业高质量发展研究院白羽肉鸡创新平台建设，从而进一步推进中国白羽肉鸡种业振兴</w:t>
            </w:r>
            <w:r>
              <w:rPr>
                <w:rFonts w:hint="default" w:ascii="Times New Roman" w:hAnsi="Times New Roman" w:eastAsia="宋体" w:cs="Times New Roman"/>
                <w:color w:val="auto"/>
                <w:sz w:val="21"/>
                <w:szCs w:val="21"/>
                <w:lang w:eastAsia="zh-CN"/>
              </w:rPr>
              <w:t>。</w:t>
            </w:r>
          </w:p>
        </w:tc>
      </w:tr>
      <w:tr w14:paraId="1ADE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530" w:type="dxa"/>
            <w:shd w:val="clear" w:color="auto" w:fill="auto"/>
            <w:vAlign w:val="center"/>
          </w:tcPr>
          <w:p w14:paraId="31A445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645" w:type="dxa"/>
            <w:vMerge w:val="restart"/>
            <w:shd w:val="clear" w:color="auto" w:fill="auto"/>
            <w:vAlign w:val="center"/>
          </w:tcPr>
          <w:p w14:paraId="1EF8B4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农业基础提升改造工程</w:t>
            </w:r>
          </w:p>
        </w:tc>
        <w:tc>
          <w:tcPr>
            <w:tcW w:w="2191" w:type="dxa"/>
            <w:shd w:val="clear" w:color="auto" w:fill="auto"/>
            <w:vAlign w:val="center"/>
          </w:tcPr>
          <w:p w14:paraId="0EB38E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高标准</w:t>
            </w:r>
          </w:p>
          <w:p w14:paraId="0C934C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农田建设</w:t>
            </w:r>
          </w:p>
          <w:p w14:paraId="48A67E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项目</w:t>
            </w:r>
          </w:p>
        </w:tc>
        <w:tc>
          <w:tcPr>
            <w:tcW w:w="792" w:type="dxa"/>
            <w:shd w:val="clear" w:color="auto" w:fill="auto"/>
            <w:vAlign w:val="center"/>
          </w:tcPr>
          <w:p w14:paraId="6F3FC7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18800</w:t>
            </w:r>
          </w:p>
        </w:tc>
        <w:tc>
          <w:tcPr>
            <w:tcW w:w="859" w:type="dxa"/>
            <w:shd w:val="clear" w:color="auto" w:fill="auto"/>
            <w:vAlign w:val="center"/>
          </w:tcPr>
          <w:p w14:paraId="00D8FC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w:t>
            </w:r>
          </w:p>
        </w:tc>
        <w:tc>
          <w:tcPr>
            <w:tcW w:w="7975" w:type="dxa"/>
            <w:shd w:val="clear" w:color="auto" w:fill="auto"/>
            <w:vAlign w:val="center"/>
          </w:tcPr>
          <w:p w14:paraId="7CFD3D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以增强农田灌溉及排涝能力、田块</w:t>
            </w:r>
            <w:r>
              <w:rPr>
                <w:rFonts w:hint="default" w:ascii="Times New Roman" w:hAnsi="Times New Roman" w:eastAsia="宋体" w:cs="Times New Roman"/>
                <w:color w:val="auto"/>
                <w:sz w:val="21"/>
                <w:szCs w:val="21"/>
                <w:lang w:eastAsia="zh-CN"/>
              </w:rPr>
              <w:t>规整</w:t>
            </w:r>
            <w:r>
              <w:rPr>
                <w:rFonts w:hint="default" w:ascii="Times New Roman" w:hAnsi="Times New Roman" w:eastAsia="宋体" w:cs="Times New Roman"/>
                <w:color w:val="auto"/>
                <w:sz w:val="21"/>
                <w:szCs w:val="21"/>
              </w:rPr>
              <w:t>及土壤改良为主攻方向，以改造提升为主，</w:t>
            </w:r>
            <w:r>
              <w:rPr>
                <w:rFonts w:hint="default" w:ascii="Times New Roman" w:hAnsi="Times New Roman" w:eastAsia="宋体" w:cs="Times New Roman"/>
                <w:color w:val="auto"/>
                <w:sz w:val="21"/>
                <w:szCs w:val="21"/>
                <w:lang w:eastAsia="zh-CN"/>
              </w:rPr>
              <w:t>同步</w:t>
            </w:r>
            <w:r>
              <w:rPr>
                <w:rFonts w:hint="default" w:ascii="Times New Roman" w:hAnsi="Times New Roman" w:eastAsia="宋体" w:cs="Times New Roman"/>
                <w:color w:val="auto"/>
                <w:sz w:val="21"/>
                <w:szCs w:val="21"/>
              </w:rPr>
              <w:t>推进永久基本农</w:t>
            </w:r>
            <w:r>
              <w:rPr>
                <w:rFonts w:hint="default" w:ascii="Times New Roman" w:hAnsi="Times New Roman" w:eastAsia="宋体" w:cs="Times New Roman"/>
                <w:color w:val="auto"/>
                <w:sz w:val="21"/>
                <w:szCs w:val="21"/>
                <w:lang w:eastAsia="zh-CN"/>
              </w:rPr>
              <w:t>田和</w:t>
            </w:r>
            <w:r>
              <w:rPr>
                <w:rFonts w:hint="default" w:ascii="Times New Roman" w:hAnsi="Times New Roman" w:eastAsia="宋体" w:cs="Times New Roman"/>
                <w:color w:val="auto"/>
                <w:sz w:val="21"/>
                <w:szCs w:val="21"/>
              </w:rPr>
              <w:t>未建高标准农田区域项目建设，补齐农田基础设施短板，实现农田建设提档升级，</w:t>
            </w:r>
            <w:r>
              <w:rPr>
                <w:rFonts w:hint="default" w:ascii="Times New Roman" w:hAnsi="Times New Roman" w:eastAsia="宋体" w:cs="Times New Roman"/>
                <w:color w:val="auto"/>
                <w:sz w:val="21"/>
                <w:szCs w:val="21"/>
                <w:highlight w:val="none"/>
              </w:rPr>
              <w:t>计划</w:t>
            </w:r>
            <w:r>
              <w:rPr>
                <w:rFonts w:hint="default" w:ascii="Times New Roman" w:hAnsi="Times New Roman" w:eastAsia="宋体" w:cs="Times New Roman"/>
                <w:color w:val="auto"/>
                <w:sz w:val="21"/>
                <w:szCs w:val="21"/>
                <w:highlight w:val="none"/>
                <w:lang w:eastAsia="zh-CN"/>
              </w:rPr>
              <w:t>新建和</w:t>
            </w:r>
            <w:r>
              <w:rPr>
                <w:rFonts w:hint="default" w:ascii="Times New Roman" w:hAnsi="Times New Roman" w:eastAsia="宋体" w:cs="Times New Roman"/>
                <w:color w:val="auto"/>
                <w:sz w:val="21"/>
                <w:szCs w:val="21"/>
                <w:highlight w:val="none"/>
              </w:rPr>
              <w:t>改造提升高标准农田</w:t>
            </w:r>
            <w:r>
              <w:rPr>
                <w:rFonts w:hint="default" w:ascii="Times New Roman" w:hAnsi="Times New Roman" w:eastAsia="宋体"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rPr>
              <w:t>万亩</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rPr>
              <w:t>围绕持续改善农业基础生产条件，稳固提升水稻、小麦、玉米等粮食作物和蔬菜、大豆、油料等重要农产品综合生产能力，推进高标准农田建设，提高土地产出率和资源利用率，实现“田地平整肥沃、水利设施配套、田间道路畅通、林网建设适宜、科技先进适用、优质高产高效”目标</w:t>
            </w:r>
            <w:r>
              <w:rPr>
                <w:rFonts w:hint="default" w:ascii="Times New Roman" w:hAnsi="Times New Roman" w:eastAsia="宋体" w:cs="Times New Roman"/>
                <w:color w:val="auto"/>
                <w:sz w:val="21"/>
                <w:szCs w:val="21"/>
                <w:lang w:val="en-US" w:eastAsia="zh-CN"/>
              </w:rPr>
              <w:t>。</w:t>
            </w:r>
          </w:p>
        </w:tc>
      </w:tr>
      <w:tr w14:paraId="586A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530" w:type="dxa"/>
            <w:shd w:val="clear" w:color="auto" w:fill="auto"/>
            <w:vAlign w:val="center"/>
          </w:tcPr>
          <w:p w14:paraId="664785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p>
        </w:tc>
        <w:tc>
          <w:tcPr>
            <w:tcW w:w="645" w:type="dxa"/>
            <w:vMerge w:val="continue"/>
            <w:shd w:val="clear" w:color="auto" w:fill="auto"/>
            <w:vAlign w:val="center"/>
          </w:tcPr>
          <w:p w14:paraId="750948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70BFE2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农机装备报废</w:t>
            </w:r>
          </w:p>
          <w:p w14:paraId="5DB100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更新项目</w:t>
            </w:r>
          </w:p>
        </w:tc>
        <w:tc>
          <w:tcPr>
            <w:tcW w:w="792" w:type="dxa"/>
            <w:shd w:val="clear" w:color="auto" w:fill="auto"/>
            <w:vAlign w:val="center"/>
          </w:tcPr>
          <w:p w14:paraId="63AE02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100</w:t>
            </w:r>
          </w:p>
        </w:tc>
        <w:tc>
          <w:tcPr>
            <w:tcW w:w="859" w:type="dxa"/>
            <w:shd w:val="clear" w:color="auto" w:fill="auto"/>
            <w:vAlign w:val="center"/>
          </w:tcPr>
          <w:p w14:paraId="32FB01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w:t>
            </w:r>
          </w:p>
        </w:tc>
        <w:tc>
          <w:tcPr>
            <w:tcW w:w="7975" w:type="dxa"/>
            <w:shd w:val="clear" w:color="auto" w:fill="auto"/>
            <w:vAlign w:val="center"/>
          </w:tcPr>
          <w:p w14:paraId="3DBB46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对全区在用的拖拉机联合收割机，农用北斗辅助驾驶系统，农用无人驾驶航空器等农机进行提档升级，报废淘汰老旧机具，购置动力大，性能优的机具，使得作业生产更加安全，更加便捷，有效</w:t>
            </w:r>
            <w:r>
              <w:rPr>
                <w:rFonts w:hint="default" w:ascii="Times New Roman" w:hAnsi="Times New Roman" w:eastAsia="宋体" w:cs="Times New Roman"/>
                <w:color w:val="auto"/>
                <w:sz w:val="21"/>
                <w:szCs w:val="21"/>
                <w:lang w:val="en-US" w:eastAsia="zh-CN"/>
              </w:rPr>
              <w:t>地</w:t>
            </w:r>
            <w:r>
              <w:rPr>
                <w:rFonts w:hint="default" w:ascii="Times New Roman" w:hAnsi="Times New Roman" w:eastAsia="宋体" w:cs="Times New Roman"/>
                <w:color w:val="auto"/>
                <w:sz w:val="21"/>
                <w:szCs w:val="21"/>
              </w:rPr>
              <w:t>服务农业生产</w:t>
            </w:r>
            <w:r>
              <w:rPr>
                <w:rFonts w:hint="default" w:ascii="Times New Roman" w:hAnsi="Times New Roman" w:eastAsia="宋体" w:cs="Times New Roman"/>
                <w:color w:val="auto"/>
                <w:sz w:val="21"/>
                <w:szCs w:val="21"/>
                <w:lang w:eastAsia="zh-CN"/>
              </w:rPr>
              <w:t>。</w:t>
            </w:r>
          </w:p>
        </w:tc>
      </w:tr>
      <w:tr w14:paraId="5A66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0" w:type="dxa"/>
            <w:shd w:val="clear" w:color="auto" w:fill="auto"/>
            <w:vAlign w:val="center"/>
          </w:tcPr>
          <w:p w14:paraId="31FC7C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w:t>
            </w:r>
          </w:p>
        </w:tc>
        <w:tc>
          <w:tcPr>
            <w:tcW w:w="645" w:type="dxa"/>
            <w:vMerge w:val="continue"/>
            <w:shd w:val="clear" w:color="auto" w:fill="auto"/>
            <w:vAlign w:val="center"/>
          </w:tcPr>
          <w:p w14:paraId="0CD50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08DAF8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全域土地综合</w:t>
            </w:r>
          </w:p>
          <w:p w14:paraId="54FBA5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整治项目</w:t>
            </w:r>
          </w:p>
        </w:tc>
        <w:tc>
          <w:tcPr>
            <w:tcW w:w="792" w:type="dxa"/>
            <w:shd w:val="clear" w:color="auto" w:fill="auto"/>
            <w:vAlign w:val="center"/>
          </w:tcPr>
          <w:p w14:paraId="66A104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80000</w:t>
            </w:r>
          </w:p>
        </w:tc>
        <w:tc>
          <w:tcPr>
            <w:tcW w:w="859" w:type="dxa"/>
            <w:shd w:val="clear" w:color="auto" w:fill="auto"/>
            <w:vAlign w:val="center"/>
          </w:tcPr>
          <w:p w14:paraId="514F29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90000</w:t>
            </w:r>
          </w:p>
        </w:tc>
        <w:tc>
          <w:tcPr>
            <w:tcW w:w="7975" w:type="dxa"/>
            <w:shd w:val="clear" w:color="auto" w:fill="auto"/>
            <w:vAlign w:val="center"/>
          </w:tcPr>
          <w:p w14:paraId="16E1D2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统筹推进农田，水利，交通，历史文化保护，生态修复，人居环境提升等项目，构建高效协调的国土空间开发保护新格局，支撑新型城镇化和乡村振兴战略。推动耕地集中连片整治，实现</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数量有增加，质量有改善，产量有提升，布局更集中</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，做大做强农业品牌和产业链，增强村集体经济活力，带动农民增收，持续推进乡村振兴</w:t>
            </w:r>
            <w:r>
              <w:rPr>
                <w:rFonts w:hint="default" w:ascii="Times New Roman" w:hAnsi="Times New Roman" w:eastAsia="宋体" w:cs="Times New Roman"/>
                <w:color w:val="auto"/>
                <w:sz w:val="21"/>
                <w:szCs w:val="21"/>
                <w:lang w:eastAsia="zh-CN"/>
              </w:rPr>
              <w:t>。</w:t>
            </w:r>
          </w:p>
        </w:tc>
      </w:tr>
      <w:tr w14:paraId="714B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530" w:type="dxa"/>
            <w:shd w:val="clear" w:color="auto" w:fill="auto"/>
            <w:vAlign w:val="center"/>
          </w:tcPr>
          <w:p w14:paraId="4AAFCE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w:t>
            </w:r>
          </w:p>
        </w:tc>
        <w:tc>
          <w:tcPr>
            <w:tcW w:w="645" w:type="dxa"/>
            <w:vMerge w:val="restart"/>
            <w:shd w:val="clear" w:color="auto" w:fill="auto"/>
            <w:vAlign w:val="center"/>
          </w:tcPr>
          <w:p w14:paraId="0C575F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p>
          <w:p w14:paraId="6BCA68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p>
          <w:p w14:paraId="2879F2BD">
            <w:pPr>
              <w:pStyle w:val="9"/>
              <w:keepNext w:val="0"/>
              <w:keepLines w:val="0"/>
              <w:suppressLineNumbers w:val="0"/>
              <w:spacing w:before="0" w:beforeAutospacing="0" w:afterAutospacing="0"/>
              <w:ind w:left="0" w:right="0"/>
              <w:rPr>
                <w:rFonts w:hint="default" w:ascii="Times New Roman" w:hAnsi="Times New Roman" w:eastAsia="宋体" w:cs="Times New Roman"/>
                <w:color w:val="auto"/>
                <w:sz w:val="21"/>
                <w:szCs w:val="21"/>
                <w:lang w:val="en-US" w:eastAsia="zh-CN"/>
              </w:rPr>
            </w:pPr>
          </w:p>
          <w:p w14:paraId="6711664D">
            <w:pPr>
              <w:keepNext w:val="0"/>
              <w:keepLines w:val="0"/>
              <w:suppressLineNumbers w:val="0"/>
              <w:spacing w:before="0" w:beforeAutospacing="0" w:after="0" w:afterAutospacing="0"/>
              <w:ind w:left="0" w:right="0"/>
              <w:rPr>
                <w:rFonts w:hint="default" w:ascii="Times New Roman" w:hAnsi="Times New Roman" w:cs="Times New Roman"/>
                <w:color w:val="auto"/>
                <w:lang w:val="en-US" w:eastAsia="zh-CN"/>
              </w:rPr>
            </w:pPr>
          </w:p>
          <w:p w14:paraId="544533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产业融合发展强链工程</w:t>
            </w:r>
          </w:p>
        </w:tc>
        <w:tc>
          <w:tcPr>
            <w:tcW w:w="2191" w:type="dxa"/>
            <w:shd w:val="clear" w:color="auto" w:fill="auto"/>
            <w:vAlign w:val="center"/>
          </w:tcPr>
          <w:p w14:paraId="2401EE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四甲镇农业</w:t>
            </w:r>
          </w:p>
          <w:p w14:paraId="3F8755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产业强镇项目</w:t>
            </w:r>
          </w:p>
        </w:tc>
        <w:tc>
          <w:tcPr>
            <w:tcW w:w="792" w:type="dxa"/>
            <w:shd w:val="clear" w:color="auto" w:fill="auto"/>
            <w:vAlign w:val="center"/>
          </w:tcPr>
          <w:p w14:paraId="4BE295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1000</w:t>
            </w:r>
          </w:p>
        </w:tc>
        <w:tc>
          <w:tcPr>
            <w:tcW w:w="859" w:type="dxa"/>
            <w:shd w:val="clear" w:color="auto" w:fill="auto"/>
            <w:vAlign w:val="center"/>
          </w:tcPr>
          <w:p w14:paraId="6AEABF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3050</w:t>
            </w:r>
          </w:p>
        </w:tc>
        <w:tc>
          <w:tcPr>
            <w:tcW w:w="7975" w:type="dxa"/>
            <w:shd w:val="clear" w:color="auto" w:fill="auto"/>
            <w:vAlign w:val="center"/>
          </w:tcPr>
          <w:p w14:paraId="675411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在四甲镇货隆村新建3000平方米苗鸡孵化房；在有余村新建占地25亩的肉鸡养殖基地，年出栏肉鸡120万只；鹿鹿通公司新增烘烤流水线2条、</w:t>
            </w:r>
            <w:r>
              <w:rPr>
                <w:rFonts w:hint="eastAsia" w:ascii="Times New Roman" w:hAnsi="Times New Roman" w:eastAsia="宋体" w:cs="Times New Roman"/>
                <w:color w:val="auto"/>
                <w:sz w:val="21"/>
                <w:szCs w:val="21"/>
                <w:lang w:eastAsia="zh-CN"/>
              </w:rPr>
              <w:t>巴氏杀菌</w:t>
            </w:r>
            <w:r>
              <w:rPr>
                <w:rFonts w:hint="default" w:ascii="Times New Roman" w:hAnsi="Times New Roman" w:eastAsia="宋体" w:cs="Times New Roman"/>
                <w:color w:val="auto"/>
                <w:sz w:val="21"/>
                <w:szCs w:val="21"/>
              </w:rPr>
              <w:t>流水线2条、溏心蛋蒸煮流水线1条，年产溏心蛋8500万只。</w:t>
            </w:r>
          </w:p>
        </w:tc>
      </w:tr>
      <w:tr w14:paraId="01D7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30" w:type="dxa"/>
            <w:shd w:val="clear" w:color="auto" w:fill="auto"/>
            <w:vAlign w:val="center"/>
          </w:tcPr>
          <w:p w14:paraId="68F0E1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c>
          <w:tcPr>
            <w:tcW w:w="645" w:type="dxa"/>
            <w:vMerge w:val="continue"/>
            <w:shd w:val="clear" w:color="auto" w:fill="auto"/>
            <w:vAlign w:val="center"/>
          </w:tcPr>
          <w:p w14:paraId="555DC4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p>
        </w:tc>
        <w:tc>
          <w:tcPr>
            <w:tcW w:w="2191" w:type="dxa"/>
            <w:shd w:val="clear" w:color="auto" w:fill="auto"/>
            <w:vAlign w:val="center"/>
          </w:tcPr>
          <w:p w14:paraId="282198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农产品冷藏保鲜</w:t>
            </w:r>
          </w:p>
          <w:p w14:paraId="246A74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设施项目</w:t>
            </w:r>
          </w:p>
        </w:tc>
        <w:tc>
          <w:tcPr>
            <w:tcW w:w="792" w:type="dxa"/>
            <w:shd w:val="clear" w:color="auto" w:fill="auto"/>
            <w:vAlign w:val="center"/>
          </w:tcPr>
          <w:p w14:paraId="33882B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300</w:t>
            </w:r>
          </w:p>
        </w:tc>
        <w:tc>
          <w:tcPr>
            <w:tcW w:w="859" w:type="dxa"/>
            <w:shd w:val="clear" w:color="auto" w:fill="auto"/>
            <w:vAlign w:val="center"/>
          </w:tcPr>
          <w:p w14:paraId="037157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750</w:t>
            </w:r>
          </w:p>
        </w:tc>
        <w:tc>
          <w:tcPr>
            <w:tcW w:w="7975" w:type="dxa"/>
            <w:shd w:val="clear" w:color="auto" w:fill="auto"/>
            <w:vAlign w:val="center"/>
          </w:tcPr>
          <w:p w14:paraId="28F6CB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在悦来镇等地建设农产品产地冷藏保鲜设施3个，总容积1.5万立方米，主要用于蔬菜，水果等鲜食农产品的冷藏保鲜，年新增蔬菜水果等农产品保鲜1.8万吨</w:t>
            </w:r>
            <w:r>
              <w:rPr>
                <w:rFonts w:hint="default" w:ascii="Times New Roman" w:hAnsi="Times New Roman" w:eastAsia="宋体" w:cs="Times New Roman"/>
                <w:color w:val="auto"/>
                <w:sz w:val="21"/>
                <w:szCs w:val="21"/>
                <w:lang w:eastAsia="zh-CN"/>
              </w:rPr>
              <w:t>。</w:t>
            </w:r>
          </w:p>
        </w:tc>
      </w:tr>
      <w:tr w14:paraId="1A61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530" w:type="dxa"/>
            <w:shd w:val="clear" w:color="auto" w:fill="auto"/>
            <w:vAlign w:val="center"/>
          </w:tcPr>
          <w:p w14:paraId="06B9A6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11</w:t>
            </w:r>
          </w:p>
        </w:tc>
        <w:tc>
          <w:tcPr>
            <w:tcW w:w="645" w:type="dxa"/>
            <w:vMerge w:val="continue"/>
            <w:shd w:val="clear" w:color="auto" w:fill="auto"/>
            <w:vAlign w:val="center"/>
          </w:tcPr>
          <w:p w14:paraId="4E626B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38F33D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嘉吉粮油</w:t>
            </w:r>
          </w:p>
          <w:p w14:paraId="7ABDAE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项目</w:t>
            </w:r>
          </w:p>
        </w:tc>
        <w:tc>
          <w:tcPr>
            <w:tcW w:w="792" w:type="dxa"/>
            <w:shd w:val="clear" w:color="auto" w:fill="auto"/>
            <w:vAlign w:val="center"/>
          </w:tcPr>
          <w:p w14:paraId="1D1FFF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w:t>
            </w:r>
          </w:p>
        </w:tc>
        <w:tc>
          <w:tcPr>
            <w:tcW w:w="859" w:type="dxa"/>
            <w:shd w:val="clear" w:color="auto" w:fill="auto"/>
            <w:vAlign w:val="center"/>
          </w:tcPr>
          <w:p w14:paraId="1085D7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300000</w:t>
            </w:r>
          </w:p>
        </w:tc>
        <w:tc>
          <w:tcPr>
            <w:tcW w:w="7975" w:type="dxa"/>
            <w:shd w:val="clear" w:color="auto" w:fill="auto"/>
            <w:vAlign w:val="center"/>
          </w:tcPr>
          <w:p w14:paraId="471DE4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占地约400亩，新厂将构建完整的粮油加工体系，包含年加工能力198万吨的大豆压榨厂，年加工能力82.5万吨的植物油精炼厂，特种油脂精炼厂，以及磷脂生产线和包装，仓储等配套设施</w:t>
            </w:r>
            <w:r>
              <w:rPr>
                <w:rFonts w:hint="default" w:ascii="Times New Roman" w:hAnsi="Times New Roman" w:eastAsia="宋体" w:cs="Times New Roman"/>
                <w:color w:val="auto"/>
                <w:sz w:val="21"/>
                <w:szCs w:val="21"/>
                <w:lang w:eastAsia="zh-CN"/>
              </w:rPr>
              <w:t>。</w:t>
            </w:r>
          </w:p>
        </w:tc>
      </w:tr>
      <w:tr w14:paraId="5026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0" w:type="dxa"/>
            <w:shd w:val="clear" w:color="auto" w:fill="auto"/>
            <w:vAlign w:val="center"/>
          </w:tcPr>
          <w:p w14:paraId="4948B7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12</w:t>
            </w:r>
          </w:p>
        </w:tc>
        <w:tc>
          <w:tcPr>
            <w:tcW w:w="645" w:type="dxa"/>
            <w:vMerge w:val="continue"/>
            <w:shd w:val="clear" w:color="auto" w:fill="auto"/>
            <w:vAlign w:val="center"/>
          </w:tcPr>
          <w:p w14:paraId="25A0FC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3873A9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乐轻饮料</w:t>
            </w:r>
          </w:p>
          <w:p w14:paraId="6F811D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项目</w:t>
            </w:r>
          </w:p>
        </w:tc>
        <w:tc>
          <w:tcPr>
            <w:tcW w:w="792" w:type="dxa"/>
            <w:shd w:val="clear" w:color="auto" w:fill="auto"/>
            <w:vAlign w:val="center"/>
          </w:tcPr>
          <w:p w14:paraId="7ACB36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w:t>
            </w:r>
          </w:p>
        </w:tc>
        <w:tc>
          <w:tcPr>
            <w:tcW w:w="859" w:type="dxa"/>
            <w:shd w:val="clear" w:color="auto" w:fill="auto"/>
            <w:vAlign w:val="center"/>
          </w:tcPr>
          <w:p w14:paraId="7618EE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20000</w:t>
            </w:r>
          </w:p>
        </w:tc>
        <w:tc>
          <w:tcPr>
            <w:tcW w:w="7975" w:type="dxa"/>
            <w:shd w:val="clear" w:color="auto" w:fill="auto"/>
            <w:vAlign w:val="center"/>
          </w:tcPr>
          <w:p w14:paraId="28805E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新建厂房2.5万平方米，投入果汁饮料生产线5条，新增应税销售收入35000万元，税收1500万元</w:t>
            </w:r>
            <w:r>
              <w:rPr>
                <w:rFonts w:hint="default" w:ascii="Times New Roman" w:hAnsi="Times New Roman" w:eastAsia="宋体" w:cs="Times New Roman"/>
                <w:color w:val="auto"/>
                <w:sz w:val="21"/>
                <w:szCs w:val="21"/>
                <w:lang w:val="en-US" w:eastAsia="zh-CN"/>
              </w:rPr>
              <w:t>。</w:t>
            </w:r>
          </w:p>
        </w:tc>
      </w:tr>
      <w:tr w14:paraId="7406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30" w:type="dxa"/>
            <w:shd w:val="clear" w:color="auto" w:fill="auto"/>
            <w:vAlign w:val="center"/>
          </w:tcPr>
          <w:p w14:paraId="0B1389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13</w:t>
            </w:r>
          </w:p>
        </w:tc>
        <w:tc>
          <w:tcPr>
            <w:tcW w:w="645" w:type="dxa"/>
            <w:vMerge w:val="continue"/>
            <w:shd w:val="clear" w:color="auto" w:fill="auto"/>
            <w:vAlign w:val="center"/>
          </w:tcPr>
          <w:p w14:paraId="6F4510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387604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橙亿食品</w:t>
            </w:r>
          </w:p>
          <w:p w14:paraId="331017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项目</w:t>
            </w:r>
          </w:p>
        </w:tc>
        <w:tc>
          <w:tcPr>
            <w:tcW w:w="792" w:type="dxa"/>
            <w:shd w:val="clear" w:color="auto" w:fill="auto"/>
            <w:vAlign w:val="center"/>
          </w:tcPr>
          <w:p w14:paraId="5745C1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w:t>
            </w:r>
          </w:p>
        </w:tc>
        <w:tc>
          <w:tcPr>
            <w:tcW w:w="859" w:type="dxa"/>
            <w:shd w:val="clear" w:color="auto" w:fill="auto"/>
            <w:vAlign w:val="center"/>
          </w:tcPr>
          <w:p w14:paraId="7612D2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50000</w:t>
            </w:r>
          </w:p>
        </w:tc>
        <w:tc>
          <w:tcPr>
            <w:tcW w:w="7975" w:type="dxa"/>
            <w:shd w:val="clear" w:color="auto" w:fill="auto"/>
            <w:vAlign w:val="center"/>
          </w:tcPr>
          <w:p w14:paraId="7D3E6F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一期用地26亩，建设高端冷链食品生产基地，满产后可实现年销售2亿元，税收1000万元；二期用地45亩，满产后可实现年销售5亿元，税收2500万元</w:t>
            </w:r>
            <w:r>
              <w:rPr>
                <w:rFonts w:hint="default" w:ascii="Times New Roman" w:hAnsi="Times New Roman" w:eastAsia="宋体" w:cs="Times New Roman"/>
                <w:color w:val="auto"/>
                <w:sz w:val="21"/>
                <w:szCs w:val="21"/>
                <w:lang w:eastAsia="zh-CN"/>
              </w:rPr>
              <w:t>。</w:t>
            </w:r>
          </w:p>
        </w:tc>
      </w:tr>
      <w:tr w14:paraId="171A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30" w:type="dxa"/>
            <w:shd w:val="clear" w:color="auto" w:fill="auto"/>
            <w:vAlign w:val="center"/>
          </w:tcPr>
          <w:p w14:paraId="597B2B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14</w:t>
            </w:r>
          </w:p>
        </w:tc>
        <w:tc>
          <w:tcPr>
            <w:tcW w:w="645" w:type="dxa"/>
            <w:vMerge w:val="continue"/>
            <w:shd w:val="clear" w:color="auto" w:fill="auto"/>
            <w:vAlign w:val="center"/>
          </w:tcPr>
          <w:p w14:paraId="49C298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4419AD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佳之味</w:t>
            </w:r>
            <w:r>
              <w:rPr>
                <w:rFonts w:hint="default" w:ascii="Times New Roman" w:hAnsi="Times New Roman" w:eastAsia="宋体" w:cs="Times New Roman"/>
                <w:color w:val="auto"/>
                <w:sz w:val="21"/>
                <w:szCs w:val="21"/>
                <w:lang w:eastAsia="zh-CN"/>
              </w:rPr>
              <w:t>食品</w:t>
            </w:r>
            <w:r>
              <w:rPr>
                <w:rFonts w:hint="default" w:ascii="Times New Roman" w:hAnsi="Times New Roman" w:eastAsia="宋体" w:cs="Times New Roman"/>
                <w:color w:val="auto"/>
                <w:sz w:val="21"/>
                <w:szCs w:val="21"/>
              </w:rPr>
              <w:t>项目</w:t>
            </w:r>
          </w:p>
        </w:tc>
        <w:tc>
          <w:tcPr>
            <w:tcW w:w="792" w:type="dxa"/>
            <w:shd w:val="clear" w:color="auto" w:fill="auto"/>
            <w:vAlign w:val="center"/>
          </w:tcPr>
          <w:p w14:paraId="0E278D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w:t>
            </w:r>
          </w:p>
        </w:tc>
        <w:tc>
          <w:tcPr>
            <w:tcW w:w="859" w:type="dxa"/>
            <w:shd w:val="clear" w:color="auto" w:fill="auto"/>
            <w:vAlign w:val="center"/>
          </w:tcPr>
          <w:p w14:paraId="502A97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12000</w:t>
            </w:r>
          </w:p>
        </w:tc>
        <w:tc>
          <w:tcPr>
            <w:tcW w:w="7975" w:type="dxa"/>
            <w:shd w:val="clear" w:color="auto" w:fill="auto"/>
            <w:vAlign w:val="center"/>
          </w:tcPr>
          <w:p w14:paraId="4D8A26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eastAsia="zh-CN"/>
              </w:rPr>
              <w:t>用地</w:t>
            </w:r>
            <w:r>
              <w:rPr>
                <w:rFonts w:hint="default" w:ascii="Times New Roman" w:hAnsi="Times New Roman" w:eastAsia="宋体" w:cs="Times New Roman"/>
                <w:color w:val="auto"/>
                <w:sz w:val="21"/>
                <w:szCs w:val="21"/>
                <w:lang w:val="en-US" w:eastAsia="zh-CN"/>
              </w:rPr>
              <w:t>45亩，新建厂房2万平方米，</w:t>
            </w:r>
            <w:r>
              <w:rPr>
                <w:rFonts w:hint="default" w:ascii="Times New Roman" w:hAnsi="Times New Roman" w:eastAsia="宋体" w:cs="Times New Roman"/>
                <w:color w:val="auto"/>
                <w:sz w:val="21"/>
                <w:szCs w:val="21"/>
              </w:rPr>
              <w:t>新增卧螺离心机，大米浸泡罐，气流系统，异构柱，异构换热系统，无菌灌装机等设备，实现大米蛋白，</w:t>
            </w:r>
            <w:r>
              <w:rPr>
                <w:rFonts w:hint="default" w:ascii="Times New Roman" w:hAnsi="Times New Roman" w:eastAsia="宋体" w:cs="Times New Roman"/>
                <w:color w:val="auto"/>
                <w:sz w:val="21"/>
                <w:szCs w:val="21"/>
                <w:lang w:eastAsia="zh-CN"/>
              </w:rPr>
              <w:t>灌装饮料</w:t>
            </w:r>
            <w:r>
              <w:rPr>
                <w:rFonts w:hint="default" w:ascii="Times New Roman" w:hAnsi="Times New Roman" w:eastAsia="宋体" w:cs="Times New Roman"/>
                <w:color w:val="auto"/>
                <w:sz w:val="21"/>
                <w:szCs w:val="21"/>
              </w:rPr>
              <w:t>等产品链的开发生产和销售，不断延伸产业链</w:t>
            </w:r>
            <w:r>
              <w:rPr>
                <w:rFonts w:hint="default" w:ascii="Times New Roman" w:hAnsi="Times New Roman" w:eastAsia="宋体" w:cs="Times New Roman"/>
                <w:color w:val="auto"/>
                <w:sz w:val="21"/>
                <w:szCs w:val="21"/>
                <w:lang w:eastAsia="zh-CN"/>
              </w:rPr>
              <w:t>。</w:t>
            </w:r>
          </w:p>
        </w:tc>
      </w:tr>
      <w:tr w14:paraId="1FC1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2" w:hRule="atLeast"/>
          <w:jc w:val="center"/>
        </w:trPr>
        <w:tc>
          <w:tcPr>
            <w:tcW w:w="530" w:type="dxa"/>
            <w:shd w:val="clear" w:color="auto" w:fill="auto"/>
            <w:vAlign w:val="center"/>
          </w:tcPr>
          <w:p w14:paraId="2CA221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15</w:t>
            </w:r>
          </w:p>
        </w:tc>
        <w:tc>
          <w:tcPr>
            <w:tcW w:w="645" w:type="dxa"/>
            <w:vMerge w:val="continue"/>
            <w:shd w:val="clear" w:color="auto" w:fill="auto"/>
            <w:vAlign w:val="center"/>
          </w:tcPr>
          <w:p w14:paraId="38A38B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69D595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博涛大米</w:t>
            </w:r>
          </w:p>
          <w:p w14:paraId="1BD1B2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加工项目</w:t>
            </w:r>
          </w:p>
        </w:tc>
        <w:tc>
          <w:tcPr>
            <w:tcW w:w="792" w:type="dxa"/>
            <w:shd w:val="clear" w:color="auto" w:fill="auto"/>
            <w:vAlign w:val="center"/>
          </w:tcPr>
          <w:p w14:paraId="7DF6DA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w:t>
            </w:r>
          </w:p>
        </w:tc>
        <w:tc>
          <w:tcPr>
            <w:tcW w:w="859" w:type="dxa"/>
            <w:shd w:val="clear" w:color="auto" w:fill="auto"/>
            <w:vAlign w:val="center"/>
          </w:tcPr>
          <w:p w14:paraId="73E5D5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6000</w:t>
            </w:r>
          </w:p>
        </w:tc>
        <w:tc>
          <w:tcPr>
            <w:tcW w:w="7975" w:type="dxa"/>
            <w:shd w:val="clear" w:color="auto" w:fill="auto"/>
            <w:vAlign w:val="center"/>
          </w:tcPr>
          <w:p w14:paraId="65C8AE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rightChars="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利用海门高新区原</w:t>
            </w:r>
            <w:r>
              <w:rPr>
                <w:rFonts w:hint="default" w:ascii="Times New Roman" w:hAnsi="Times New Roman" w:eastAsia="宋体" w:cs="Times New Roman"/>
                <w:color w:val="auto"/>
                <w:sz w:val="21"/>
                <w:szCs w:val="21"/>
                <w:lang w:eastAsia="zh-CN"/>
              </w:rPr>
              <w:t>博涛米业地块，新增</w:t>
            </w:r>
            <w:r>
              <w:rPr>
                <w:rFonts w:hint="default" w:ascii="Times New Roman" w:hAnsi="Times New Roman" w:eastAsia="宋体" w:cs="Times New Roman"/>
                <w:color w:val="auto"/>
                <w:sz w:val="21"/>
                <w:szCs w:val="21"/>
              </w:rPr>
              <w:t>用地</w:t>
            </w:r>
            <w:r>
              <w:rPr>
                <w:rFonts w:hint="default" w:ascii="Times New Roman" w:hAnsi="Times New Roman" w:eastAsia="宋体" w:cs="Times New Roman"/>
                <w:color w:val="auto"/>
                <w:sz w:val="21"/>
                <w:szCs w:val="21"/>
                <w:lang w:val="en-US" w:eastAsia="zh-CN"/>
              </w:rPr>
              <w:t>20</w:t>
            </w:r>
            <w:r>
              <w:rPr>
                <w:rFonts w:hint="default" w:ascii="Times New Roman" w:hAnsi="Times New Roman" w:eastAsia="宋体" w:cs="Times New Roman"/>
                <w:color w:val="auto"/>
                <w:sz w:val="21"/>
                <w:szCs w:val="21"/>
              </w:rPr>
              <w:t>亩，拟建设</w:t>
            </w:r>
            <w:r>
              <w:rPr>
                <w:rFonts w:hint="default" w:ascii="Times New Roman" w:hAnsi="Times New Roman" w:eastAsia="宋体" w:cs="Times New Roman"/>
                <w:color w:val="auto"/>
                <w:sz w:val="21"/>
                <w:szCs w:val="21"/>
                <w:lang w:eastAsia="zh-CN"/>
              </w:rPr>
              <w:t>日产</w:t>
            </w:r>
            <w:r>
              <w:rPr>
                <w:rFonts w:hint="default" w:ascii="Times New Roman" w:hAnsi="Times New Roman" w:eastAsia="宋体" w:cs="Times New Roman"/>
                <w:color w:val="auto"/>
                <w:sz w:val="21"/>
                <w:szCs w:val="21"/>
                <w:lang w:val="en-US" w:eastAsia="zh-CN"/>
              </w:rPr>
              <w:t>3</w:t>
            </w:r>
            <w:r>
              <w:rPr>
                <w:rFonts w:hint="default" w:ascii="Times New Roman" w:hAnsi="Times New Roman" w:eastAsia="宋体" w:cs="Times New Roman"/>
                <w:color w:val="auto"/>
                <w:sz w:val="21"/>
                <w:szCs w:val="21"/>
              </w:rPr>
              <w:t>00吨精制稻米生产流水线。项目建成后将形成年产</w:t>
            </w:r>
            <w:r>
              <w:rPr>
                <w:rFonts w:hint="default" w:ascii="Times New Roman" w:hAnsi="Times New Roman" w:eastAsia="宋体" w:cs="Times New Roman"/>
                <w:color w:val="auto"/>
                <w:sz w:val="21"/>
                <w:szCs w:val="21"/>
                <w:lang w:val="en-US" w:eastAsia="zh-CN"/>
              </w:rPr>
              <w:t>6</w:t>
            </w:r>
            <w:r>
              <w:rPr>
                <w:rFonts w:hint="default" w:ascii="Times New Roman" w:hAnsi="Times New Roman" w:eastAsia="宋体" w:cs="Times New Roman"/>
                <w:color w:val="auto"/>
                <w:sz w:val="21"/>
                <w:szCs w:val="21"/>
              </w:rPr>
              <w:t>万吨优质大米的生产规模</w:t>
            </w:r>
            <w:r>
              <w:rPr>
                <w:rFonts w:hint="default" w:ascii="Times New Roman" w:hAnsi="Times New Roman" w:eastAsia="宋体" w:cs="Times New Roman"/>
                <w:color w:val="auto"/>
                <w:sz w:val="21"/>
                <w:szCs w:val="21"/>
                <w:lang w:eastAsia="zh-CN"/>
              </w:rPr>
              <w:t>。</w:t>
            </w:r>
          </w:p>
        </w:tc>
      </w:tr>
      <w:tr w14:paraId="0327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54" w:hRule="atLeast"/>
          <w:jc w:val="center"/>
        </w:trPr>
        <w:tc>
          <w:tcPr>
            <w:tcW w:w="530" w:type="dxa"/>
            <w:shd w:val="clear" w:color="auto" w:fill="auto"/>
            <w:vAlign w:val="center"/>
          </w:tcPr>
          <w:p w14:paraId="2CFB11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16</w:t>
            </w:r>
          </w:p>
        </w:tc>
        <w:tc>
          <w:tcPr>
            <w:tcW w:w="645" w:type="dxa"/>
            <w:vMerge w:val="continue"/>
            <w:shd w:val="clear" w:color="auto" w:fill="auto"/>
            <w:vAlign w:val="center"/>
          </w:tcPr>
          <w:p w14:paraId="6554FE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57865D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洲际花博园</w:t>
            </w:r>
          </w:p>
          <w:p w14:paraId="47F182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建设</w:t>
            </w:r>
            <w:r>
              <w:rPr>
                <w:rFonts w:hint="default" w:ascii="Times New Roman" w:hAnsi="Times New Roman" w:eastAsia="宋体" w:cs="Times New Roman"/>
                <w:color w:val="auto"/>
                <w:sz w:val="21"/>
                <w:szCs w:val="21"/>
                <w:lang w:val="en-US" w:eastAsia="zh-CN"/>
              </w:rPr>
              <w:t>项目</w:t>
            </w:r>
          </w:p>
        </w:tc>
        <w:tc>
          <w:tcPr>
            <w:tcW w:w="792" w:type="dxa"/>
            <w:shd w:val="clear" w:color="auto" w:fill="auto"/>
            <w:vAlign w:val="center"/>
          </w:tcPr>
          <w:p w14:paraId="0E57A3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w:t>
            </w:r>
          </w:p>
        </w:tc>
        <w:tc>
          <w:tcPr>
            <w:tcW w:w="859" w:type="dxa"/>
            <w:shd w:val="clear" w:color="auto" w:fill="auto"/>
            <w:vAlign w:val="center"/>
          </w:tcPr>
          <w:p w14:paraId="0FCC7A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0000</w:t>
            </w:r>
          </w:p>
        </w:tc>
        <w:tc>
          <w:tcPr>
            <w:tcW w:w="7975" w:type="dxa"/>
            <w:shd w:val="clear" w:color="auto" w:fill="auto"/>
            <w:vAlign w:val="center"/>
          </w:tcPr>
          <w:p w14:paraId="7DAA35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仿宋_GB2312" w:cs="Times New Roman"/>
                <w:color w:val="auto"/>
                <w:sz w:val="32"/>
                <w:szCs w:val="24"/>
                <w:lang w:val="en-US" w:eastAsia="zh-CN" w:bidi="ar-SA"/>
              </w:rPr>
            </w:pPr>
            <w:r>
              <w:rPr>
                <w:rFonts w:hint="default" w:ascii="Times New Roman" w:hAnsi="Times New Roman" w:eastAsia="宋体" w:cs="Times New Roman"/>
                <w:color w:val="auto"/>
                <w:sz w:val="21"/>
                <w:szCs w:val="21"/>
              </w:rPr>
              <w:t>位于海门街道的“花博园”，是由南通洲绿博园有限公司投资，建设珍稀植物温室、田园花海、宠物乐园、特色餐饮等功能设施，同步推进周边民宿建设。主要定位年轻消费，创新“住”、完善“行”、丰富“游”、提升“娱”</w:t>
            </w:r>
            <w:r>
              <w:rPr>
                <w:rFonts w:hint="default" w:ascii="Times New Roman" w:hAnsi="Times New Roman" w:eastAsia="宋体" w:cs="Times New Roman"/>
                <w:color w:val="auto"/>
                <w:sz w:val="21"/>
                <w:szCs w:val="21"/>
                <w:lang w:eastAsia="zh-CN"/>
              </w:rPr>
              <w:t>。</w:t>
            </w:r>
          </w:p>
        </w:tc>
      </w:tr>
      <w:tr w14:paraId="749B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0" w:type="dxa"/>
            <w:shd w:val="clear" w:color="auto" w:fill="auto"/>
            <w:vAlign w:val="center"/>
          </w:tcPr>
          <w:p w14:paraId="65B668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17</w:t>
            </w:r>
          </w:p>
        </w:tc>
        <w:tc>
          <w:tcPr>
            <w:tcW w:w="645" w:type="dxa"/>
            <w:vMerge w:val="continue"/>
            <w:shd w:val="clear" w:color="auto" w:fill="auto"/>
            <w:vAlign w:val="center"/>
          </w:tcPr>
          <w:p w14:paraId="0AABC6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0F11C1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春之道</w:t>
            </w:r>
          </w:p>
          <w:p w14:paraId="509943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农文旅</w:t>
            </w:r>
            <w:r>
              <w:rPr>
                <w:rFonts w:hint="default" w:ascii="Times New Roman" w:hAnsi="Times New Roman" w:eastAsia="宋体" w:cs="Times New Roman"/>
                <w:color w:val="auto"/>
                <w:sz w:val="21"/>
                <w:szCs w:val="21"/>
                <w:lang w:val="en-US" w:eastAsia="zh-CN"/>
              </w:rPr>
              <w:t>项目</w:t>
            </w:r>
          </w:p>
        </w:tc>
        <w:tc>
          <w:tcPr>
            <w:tcW w:w="792" w:type="dxa"/>
            <w:shd w:val="clear" w:color="auto" w:fill="auto"/>
            <w:vAlign w:val="center"/>
          </w:tcPr>
          <w:p w14:paraId="25F412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w:t>
            </w:r>
          </w:p>
        </w:tc>
        <w:tc>
          <w:tcPr>
            <w:tcW w:w="859" w:type="dxa"/>
            <w:shd w:val="clear" w:color="auto" w:fill="auto"/>
            <w:vAlign w:val="center"/>
          </w:tcPr>
          <w:p w14:paraId="7D3FA4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20000</w:t>
            </w:r>
          </w:p>
        </w:tc>
        <w:tc>
          <w:tcPr>
            <w:tcW w:w="7975" w:type="dxa"/>
            <w:shd w:val="clear" w:color="auto" w:fill="auto"/>
            <w:vAlign w:val="center"/>
          </w:tcPr>
          <w:p w14:paraId="33DDB6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建设集农耕体验、休闲观光、康养购物于一体的农文旅融合。定位年轻消费，突</w:t>
            </w:r>
            <w:r>
              <w:rPr>
                <w:rFonts w:hint="default" w:ascii="Times New Roman" w:hAnsi="Times New Roman" w:eastAsia="宋体" w:cs="Times New Roman"/>
                <w:color w:val="auto"/>
                <w:sz w:val="21"/>
                <w:szCs w:val="21"/>
                <w:lang w:val="en-US" w:eastAsia="zh-CN"/>
              </w:rPr>
              <w:t>出“玩”，建设农文旅融合创意场景；聚焦“吃”，创新海门地方特色菜肴；畅享“购”，建设“乡产”“乡特”销售点。</w:t>
            </w:r>
          </w:p>
        </w:tc>
      </w:tr>
      <w:tr w14:paraId="1807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09" w:hRule="atLeast"/>
          <w:jc w:val="center"/>
        </w:trPr>
        <w:tc>
          <w:tcPr>
            <w:tcW w:w="530" w:type="dxa"/>
            <w:shd w:val="clear" w:color="auto" w:fill="auto"/>
            <w:vAlign w:val="center"/>
          </w:tcPr>
          <w:p w14:paraId="2FC0D3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18</w:t>
            </w:r>
          </w:p>
        </w:tc>
        <w:tc>
          <w:tcPr>
            <w:tcW w:w="645" w:type="dxa"/>
            <w:vMerge w:val="restart"/>
            <w:shd w:val="clear" w:color="auto" w:fill="auto"/>
            <w:vAlign w:val="center"/>
          </w:tcPr>
          <w:p w14:paraId="43EBC9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绿色转型引领工程</w:t>
            </w:r>
          </w:p>
        </w:tc>
        <w:tc>
          <w:tcPr>
            <w:tcW w:w="2191" w:type="dxa"/>
            <w:shd w:val="clear" w:color="auto" w:fill="auto"/>
            <w:vAlign w:val="center"/>
          </w:tcPr>
          <w:p w14:paraId="493922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耕地质量监测</w:t>
            </w:r>
          </w:p>
          <w:p w14:paraId="3AA539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与保护项目</w:t>
            </w:r>
          </w:p>
        </w:tc>
        <w:tc>
          <w:tcPr>
            <w:tcW w:w="792" w:type="dxa"/>
            <w:shd w:val="clear" w:color="auto" w:fill="auto"/>
            <w:vAlign w:val="center"/>
          </w:tcPr>
          <w:p w14:paraId="27A116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200</w:t>
            </w:r>
          </w:p>
        </w:tc>
        <w:tc>
          <w:tcPr>
            <w:tcW w:w="859" w:type="dxa"/>
            <w:shd w:val="clear" w:color="auto" w:fill="auto"/>
            <w:vAlign w:val="center"/>
          </w:tcPr>
          <w:p w14:paraId="6D054C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w:t>
            </w:r>
          </w:p>
        </w:tc>
        <w:tc>
          <w:tcPr>
            <w:tcW w:w="7975" w:type="dxa"/>
            <w:shd w:val="clear" w:color="auto" w:fill="auto"/>
            <w:vAlign w:val="center"/>
          </w:tcPr>
          <w:p w14:paraId="503219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统筹粮食安全和生态环境保护，不断夯实测土配方施肥工作基础，加大施肥新产品新技术新机具的推广力度。开展耕地地力分等定级、农产品产地环境例行监测等工作，动态掌握土壤环境质量变化情况，协同推进耕地数量、质量、生态“三位一体”保护，夯实粮食安全根基。</w:t>
            </w:r>
          </w:p>
        </w:tc>
      </w:tr>
      <w:tr w14:paraId="42D6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0" w:type="dxa"/>
            <w:shd w:val="clear" w:color="auto" w:fill="auto"/>
            <w:vAlign w:val="center"/>
          </w:tcPr>
          <w:p w14:paraId="1D4910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19</w:t>
            </w:r>
          </w:p>
        </w:tc>
        <w:tc>
          <w:tcPr>
            <w:tcW w:w="645" w:type="dxa"/>
            <w:vMerge w:val="continue"/>
            <w:shd w:val="clear" w:color="auto" w:fill="auto"/>
            <w:vAlign w:val="center"/>
          </w:tcPr>
          <w:p w14:paraId="70633B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71F0BF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农作物秸秆</w:t>
            </w:r>
          </w:p>
          <w:p w14:paraId="7898EA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综合利用项目</w:t>
            </w:r>
          </w:p>
        </w:tc>
        <w:tc>
          <w:tcPr>
            <w:tcW w:w="792" w:type="dxa"/>
            <w:shd w:val="clear" w:color="auto" w:fill="auto"/>
            <w:vAlign w:val="center"/>
          </w:tcPr>
          <w:p w14:paraId="05CB2A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3000</w:t>
            </w:r>
          </w:p>
        </w:tc>
        <w:tc>
          <w:tcPr>
            <w:tcW w:w="859" w:type="dxa"/>
            <w:shd w:val="clear" w:color="auto" w:fill="auto"/>
            <w:vAlign w:val="center"/>
          </w:tcPr>
          <w:p w14:paraId="68B16F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2000</w:t>
            </w:r>
          </w:p>
        </w:tc>
        <w:tc>
          <w:tcPr>
            <w:tcW w:w="7975" w:type="dxa"/>
            <w:shd w:val="clear" w:color="auto" w:fill="auto"/>
            <w:vAlign w:val="center"/>
          </w:tcPr>
          <w:p w14:paraId="5F2A77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鼓励各区镇</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街道</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结合实际，统筹推进秸秆机械化还田与离田收储利用，进一步提升还田作业质量，完善以市场化运作为导向的农作物秸秆收储体系，合理布局建设秸秆收储利用站点。支持秸秆综合利用企业优化生产技术模式，推广应用节能减排新工艺，新装备，着力提升产能与产品附加值。同时，示范推广秸秆在肥料化，饲料化，基料化等领域的新技术，新装备，新工艺，全面提升秸秆综合利用水平与整体效益</w:t>
            </w:r>
            <w:r>
              <w:rPr>
                <w:rFonts w:hint="default" w:ascii="Times New Roman" w:hAnsi="Times New Roman" w:eastAsia="宋体" w:cs="Times New Roman"/>
                <w:color w:val="auto"/>
                <w:sz w:val="21"/>
                <w:szCs w:val="21"/>
                <w:lang w:eastAsia="zh-CN"/>
              </w:rPr>
              <w:t>。</w:t>
            </w:r>
          </w:p>
        </w:tc>
      </w:tr>
      <w:tr w14:paraId="3C63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30" w:type="dxa"/>
            <w:shd w:val="clear" w:color="auto" w:fill="auto"/>
            <w:vAlign w:val="center"/>
          </w:tcPr>
          <w:p w14:paraId="3C9E5C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645" w:type="dxa"/>
            <w:vMerge w:val="continue"/>
            <w:shd w:val="clear" w:color="auto" w:fill="auto"/>
            <w:vAlign w:val="center"/>
          </w:tcPr>
          <w:p w14:paraId="5EA3DE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p>
        </w:tc>
        <w:tc>
          <w:tcPr>
            <w:tcW w:w="2191" w:type="dxa"/>
            <w:shd w:val="clear" w:color="auto" w:fill="auto"/>
            <w:vAlign w:val="center"/>
          </w:tcPr>
          <w:p w14:paraId="77C5F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畜禽粪污</w:t>
            </w:r>
          </w:p>
          <w:p w14:paraId="54A8FF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资源化利用项目</w:t>
            </w:r>
          </w:p>
        </w:tc>
        <w:tc>
          <w:tcPr>
            <w:tcW w:w="792" w:type="dxa"/>
            <w:shd w:val="clear" w:color="auto" w:fill="auto"/>
            <w:vAlign w:val="center"/>
          </w:tcPr>
          <w:p w14:paraId="0FEAB2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155</w:t>
            </w:r>
          </w:p>
        </w:tc>
        <w:tc>
          <w:tcPr>
            <w:tcW w:w="859" w:type="dxa"/>
            <w:shd w:val="clear" w:color="auto" w:fill="auto"/>
            <w:vAlign w:val="center"/>
          </w:tcPr>
          <w:p w14:paraId="30002E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491</w:t>
            </w:r>
          </w:p>
        </w:tc>
        <w:tc>
          <w:tcPr>
            <w:tcW w:w="7975" w:type="dxa"/>
            <w:shd w:val="clear" w:color="auto" w:fill="auto"/>
            <w:vAlign w:val="center"/>
          </w:tcPr>
          <w:p w14:paraId="0725CD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支持配套完善，改造提升臭气监控以及畜禽粪污收集，贮存，处理，利用等设施设备。收集环节：支持刮粪板，传送带等机械清粪设施设备的购置，更新；处理环节：支持堆粪场，贮存池的建设及配套设施设备的购置，更新，腐熟发酵设施设备的购置，更新，臭气控制设施设备的购置，更新；利用环节：支持运粪车的购置，更新，粪污输送管网的建设及动力泵等设施设备的购置，更新。安装节水，节料，节电的饮水，喂料，清粪设备，开展养殖场节水养殖工艺和设备改造，建设同养殖规模匹配的粪污治理和资源化利用配套设施，探索畜禽粪污多元化利用模式，解决畜禽粪污资源化利用问题，促进粪污转化增值，形成生态循环农业</w:t>
            </w:r>
            <w:r>
              <w:rPr>
                <w:rFonts w:hint="default" w:ascii="Times New Roman" w:hAnsi="Times New Roman" w:eastAsia="宋体" w:cs="Times New Roman"/>
                <w:color w:val="auto"/>
                <w:sz w:val="21"/>
                <w:szCs w:val="21"/>
                <w:lang w:eastAsia="zh-CN"/>
              </w:rPr>
              <w:t>。</w:t>
            </w:r>
          </w:p>
        </w:tc>
      </w:tr>
      <w:tr w14:paraId="4F6F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530" w:type="dxa"/>
            <w:shd w:val="clear" w:color="auto" w:fill="auto"/>
            <w:vAlign w:val="center"/>
          </w:tcPr>
          <w:p w14:paraId="271603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21</w:t>
            </w:r>
          </w:p>
        </w:tc>
        <w:tc>
          <w:tcPr>
            <w:tcW w:w="645" w:type="dxa"/>
            <w:vMerge w:val="restart"/>
            <w:shd w:val="clear" w:color="auto" w:fill="auto"/>
            <w:vAlign w:val="center"/>
          </w:tcPr>
          <w:p w14:paraId="2A6F30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科技和</w:t>
            </w:r>
          </w:p>
          <w:p w14:paraId="210E41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人才工程</w:t>
            </w:r>
          </w:p>
        </w:tc>
        <w:tc>
          <w:tcPr>
            <w:tcW w:w="2191" w:type="dxa"/>
            <w:shd w:val="clear" w:color="auto" w:fill="auto"/>
            <w:vAlign w:val="center"/>
          </w:tcPr>
          <w:p w14:paraId="54E75D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海门山羊产业研究院</w:t>
            </w:r>
          </w:p>
          <w:p w14:paraId="3C4DAD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海门山羊种业</w:t>
            </w:r>
          </w:p>
          <w:p w14:paraId="551F8D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研究院项目</w:t>
            </w:r>
          </w:p>
        </w:tc>
        <w:tc>
          <w:tcPr>
            <w:tcW w:w="792" w:type="dxa"/>
            <w:shd w:val="clear" w:color="auto" w:fill="auto"/>
            <w:vAlign w:val="center"/>
          </w:tcPr>
          <w:p w14:paraId="463725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180</w:t>
            </w:r>
          </w:p>
        </w:tc>
        <w:tc>
          <w:tcPr>
            <w:tcW w:w="859" w:type="dxa"/>
            <w:shd w:val="clear" w:color="auto" w:fill="auto"/>
            <w:vAlign w:val="center"/>
          </w:tcPr>
          <w:p w14:paraId="44D358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w:t>
            </w:r>
          </w:p>
        </w:tc>
        <w:tc>
          <w:tcPr>
            <w:tcW w:w="7975" w:type="dxa"/>
            <w:shd w:val="clear" w:color="auto" w:fill="auto"/>
            <w:vAlign w:val="center"/>
          </w:tcPr>
          <w:p w14:paraId="6A01D8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围绕突破产业技术瓶颈与加速成果转化，推动设立海门山羊种业研究院与海门山羊产业研究院，着力构建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产研共生，成果直达</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的产学研深度融合体系。完成南京农业大学海门山羊产业研究院，扬州大学海门山羊种业研究院双基地挂牌，并逐步推动研究院实现实体化，常态化运作。通过系统梳理企业技术需求清单，精准匹配高校科研团队，全面推行</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企业出题</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院校攻关</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联盟验证</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的协同创新机制。重点围绕选种选育，提纯复壮，笔料毛基因挖掘，胚胎移植，饲料营养优化，疫病综合防控等企业</w:t>
            </w:r>
            <w:r>
              <w:rPr>
                <w:rFonts w:hint="eastAsia" w:ascii="Times New Roman" w:hAnsi="Times New Roman" w:eastAsia="宋体" w:cs="Times New Roman"/>
                <w:color w:val="auto"/>
                <w:sz w:val="21"/>
                <w:szCs w:val="21"/>
                <w:lang w:eastAsia="zh-CN"/>
              </w:rPr>
              <w:t>亟需</w:t>
            </w:r>
            <w:r>
              <w:rPr>
                <w:rFonts w:hint="default" w:ascii="Times New Roman" w:hAnsi="Times New Roman" w:eastAsia="宋体" w:cs="Times New Roman"/>
                <w:color w:val="auto"/>
                <w:sz w:val="21"/>
                <w:szCs w:val="21"/>
              </w:rPr>
              <w:t>突破的环节开展技术研发，为山羊产业高质量发展注入持续科技动力，进一步推动海门山羊产业向标准化，规模化，品牌化方向转型升级</w:t>
            </w:r>
            <w:r>
              <w:rPr>
                <w:rFonts w:hint="default" w:ascii="Times New Roman" w:hAnsi="Times New Roman" w:eastAsia="宋体" w:cs="Times New Roman"/>
                <w:color w:val="auto"/>
                <w:sz w:val="21"/>
                <w:szCs w:val="21"/>
                <w:lang w:eastAsia="zh-CN"/>
              </w:rPr>
              <w:t>。</w:t>
            </w:r>
          </w:p>
        </w:tc>
      </w:tr>
      <w:tr w14:paraId="41E4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94" w:hRule="atLeast"/>
          <w:jc w:val="center"/>
        </w:trPr>
        <w:tc>
          <w:tcPr>
            <w:tcW w:w="530" w:type="dxa"/>
            <w:shd w:val="clear" w:color="auto" w:fill="auto"/>
            <w:vAlign w:val="center"/>
          </w:tcPr>
          <w:p w14:paraId="4D2CE2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22</w:t>
            </w:r>
          </w:p>
        </w:tc>
        <w:tc>
          <w:tcPr>
            <w:tcW w:w="645" w:type="dxa"/>
            <w:vMerge w:val="continue"/>
            <w:shd w:val="clear" w:color="auto" w:fill="auto"/>
            <w:vAlign w:val="center"/>
          </w:tcPr>
          <w:p w14:paraId="4C4475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p>
        </w:tc>
        <w:tc>
          <w:tcPr>
            <w:tcW w:w="2191" w:type="dxa"/>
            <w:shd w:val="clear" w:color="auto" w:fill="auto"/>
            <w:vAlign w:val="center"/>
          </w:tcPr>
          <w:p w14:paraId="1EF29D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畜牧业智慧化建设</w:t>
            </w:r>
          </w:p>
          <w:p w14:paraId="5F8370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政策项目</w:t>
            </w:r>
          </w:p>
        </w:tc>
        <w:tc>
          <w:tcPr>
            <w:tcW w:w="792" w:type="dxa"/>
            <w:shd w:val="clear" w:color="auto" w:fill="auto"/>
            <w:vAlign w:val="center"/>
          </w:tcPr>
          <w:p w14:paraId="166C82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84</w:t>
            </w:r>
          </w:p>
        </w:tc>
        <w:tc>
          <w:tcPr>
            <w:tcW w:w="859" w:type="dxa"/>
            <w:shd w:val="clear" w:color="auto" w:fill="auto"/>
            <w:vAlign w:val="center"/>
          </w:tcPr>
          <w:p w14:paraId="7BAB43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200</w:t>
            </w:r>
          </w:p>
        </w:tc>
        <w:tc>
          <w:tcPr>
            <w:tcW w:w="7975" w:type="dxa"/>
            <w:shd w:val="clear" w:color="auto" w:fill="auto"/>
            <w:vAlign w:val="center"/>
          </w:tcPr>
          <w:p w14:paraId="65BB84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支持畜禽规模养殖及配套等场所开展智慧化建设，更新和改造升级，包括智能环境监控，精准饲喂，智能巡检，产品采集，性能测定，疫病防控等智能化设施设备的购置，更新，改造升级和信息网络通讯，数据管理分析，设备运行管理等智慧化管理系统的建设，维护。打造数字牧场中控平台，生产区域及过程人员和物品监控，饲料和饮水数字化控制，环境参数的采集和分析，指令下达，有关数字化建设所涉及的设施，设备和网络费用。</w:t>
            </w:r>
          </w:p>
        </w:tc>
      </w:tr>
      <w:tr w14:paraId="024F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530" w:type="dxa"/>
            <w:shd w:val="clear" w:color="auto" w:fill="auto"/>
            <w:vAlign w:val="center"/>
          </w:tcPr>
          <w:p w14:paraId="452E3B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23</w:t>
            </w:r>
          </w:p>
        </w:tc>
        <w:tc>
          <w:tcPr>
            <w:tcW w:w="645" w:type="dxa"/>
            <w:vMerge w:val="continue"/>
            <w:shd w:val="clear" w:color="auto" w:fill="auto"/>
            <w:vAlign w:val="center"/>
          </w:tcPr>
          <w:p w14:paraId="47D06D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p>
        </w:tc>
        <w:tc>
          <w:tcPr>
            <w:tcW w:w="2191" w:type="dxa"/>
            <w:shd w:val="clear" w:color="auto" w:fill="auto"/>
            <w:vAlign w:val="center"/>
          </w:tcPr>
          <w:p w14:paraId="122DCA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推进农技服务体系</w:t>
            </w:r>
          </w:p>
          <w:p w14:paraId="51B36F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升级</w:t>
            </w:r>
            <w:r>
              <w:rPr>
                <w:rFonts w:hint="default" w:ascii="Times New Roman" w:hAnsi="Times New Roman" w:eastAsia="宋体" w:cs="Times New Roman"/>
                <w:color w:val="auto"/>
                <w:sz w:val="21"/>
                <w:szCs w:val="21"/>
                <w:lang w:val="en-US" w:eastAsia="zh-CN"/>
              </w:rPr>
              <w:t>项目</w:t>
            </w:r>
          </w:p>
        </w:tc>
        <w:tc>
          <w:tcPr>
            <w:tcW w:w="792" w:type="dxa"/>
            <w:shd w:val="clear" w:color="auto" w:fill="auto"/>
            <w:vAlign w:val="center"/>
          </w:tcPr>
          <w:p w14:paraId="2ED9E8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1320</w:t>
            </w:r>
          </w:p>
        </w:tc>
        <w:tc>
          <w:tcPr>
            <w:tcW w:w="859" w:type="dxa"/>
            <w:shd w:val="clear" w:color="auto" w:fill="auto"/>
            <w:vAlign w:val="center"/>
          </w:tcPr>
          <w:p w14:paraId="226E5D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973</w:t>
            </w:r>
          </w:p>
        </w:tc>
        <w:tc>
          <w:tcPr>
            <w:tcW w:w="7975" w:type="dxa"/>
            <w:shd w:val="clear" w:color="auto" w:fill="auto"/>
            <w:vAlign w:val="center"/>
          </w:tcPr>
          <w:p w14:paraId="4AE357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sz w:val="21"/>
                <w:szCs w:val="21"/>
              </w:rPr>
              <w:t>启动实施区域性农业综合服务中心第一批整体推进县项目，完善</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1+3+11</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区域农技服务网络，新建4家，提档升级3家农事服务中心。培训基层农技推广人员70人</w:t>
            </w:r>
            <w:r>
              <w:rPr>
                <w:rFonts w:hint="default" w:ascii="Times New Roman" w:hAnsi="Times New Roman" w:eastAsia="宋体" w:cs="Times New Roman"/>
                <w:color w:val="auto"/>
                <w:sz w:val="21"/>
                <w:szCs w:val="21"/>
                <w:lang w:eastAsia="zh-CN"/>
              </w:rPr>
              <w:t>。</w:t>
            </w:r>
          </w:p>
        </w:tc>
      </w:tr>
      <w:tr w14:paraId="4494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0" w:type="dxa"/>
            <w:shd w:val="clear" w:color="auto" w:fill="auto"/>
            <w:vAlign w:val="center"/>
          </w:tcPr>
          <w:p w14:paraId="654FD9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4</w:t>
            </w:r>
          </w:p>
        </w:tc>
        <w:tc>
          <w:tcPr>
            <w:tcW w:w="645" w:type="dxa"/>
            <w:vMerge w:val="restart"/>
            <w:shd w:val="clear" w:color="auto" w:fill="auto"/>
            <w:vAlign w:val="center"/>
          </w:tcPr>
          <w:p w14:paraId="1F9289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生态</w:t>
            </w:r>
          </w:p>
          <w:p w14:paraId="6DA8E5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美丽宜居乡村建设工程</w:t>
            </w:r>
          </w:p>
        </w:tc>
        <w:tc>
          <w:tcPr>
            <w:tcW w:w="2191" w:type="dxa"/>
            <w:shd w:val="clear" w:color="auto" w:fill="auto"/>
            <w:vAlign w:val="center"/>
          </w:tcPr>
          <w:p w14:paraId="0E0B56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省级宜居宜业和美</w:t>
            </w:r>
          </w:p>
          <w:p w14:paraId="22FC0D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乡村建设项目</w:t>
            </w:r>
          </w:p>
        </w:tc>
        <w:tc>
          <w:tcPr>
            <w:tcW w:w="792" w:type="dxa"/>
            <w:shd w:val="clear" w:color="auto" w:fill="auto"/>
            <w:vAlign w:val="center"/>
          </w:tcPr>
          <w:p w14:paraId="55A02C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3100</w:t>
            </w:r>
          </w:p>
        </w:tc>
        <w:tc>
          <w:tcPr>
            <w:tcW w:w="859" w:type="dxa"/>
            <w:shd w:val="clear" w:color="auto" w:fill="auto"/>
            <w:vAlign w:val="center"/>
          </w:tcPr>
          <w:p w14:paraId="791B0E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w:t>
            </w:r>
          </w:p>
        </w:tc>
        <w:tc>
          <w:tcPr>
            <w:tcW w:w="7975" w:type="dxa"/>
            <w:shd w:val="clear" w:color="auto" w:fill="auto"/>
            <w:vAlign w:val="center"/>
          </w:tcPr>
          <w:p w14:paraId="0EC8EF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紧密结合张謇故里宜居宜业和美乡村片区打造，按照</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张謇故里。和美福地</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的目标定位，持续推进宜居宜业和美乡村建设。充分挖掘生态，文化，旅游资源，因地制宜发展农耕体验，农创文旅，电商直播，康养基地等新模式，引导农民参与产业链条分工，共享乡村发展红利，将张謇故里片区建成多元产业发展的新样板，条田生态肌理保护的新示范，特色文化传承的新标杆和美丽沿江人居环境的新高地。202</w:t>
            </w:r>
            <w:r>
              <w:rPr>
                <w:rFonts w:hint="default" w:ascii="Times New Roman" w:hAnsi="Times New Roman" w:eastAsia="宋体" w:cs="Times New Roman"/>
                <w:color w:val="auto"/>
                <w:sz w:val="21"/>
                <w:szCs w:val="21"/>
                <w:lang w:val="en-US" w:eastAsia="zh-CN"/>
              </w:rPr>
              <w:t>6—20</w:t>
            </w:r>
            <w:r>
              <w:rPr>
                <w:rFonts w:hint="eastAsia" w:ascii="Times New Roman" w:hAnsi="Times New Roman" w:eastAsia="宋体" w:cs="Times New Roman"/>
                <w:color w:val="auto"/>
                <w:sz w:val="21"/>
                <w:szCs w:val="21"/>
                <w:lang w:val="en-US" w:eastAsia="zh-CN"/>
              </w:rPr>
              <w:t>3</w:t>
            </w:r>
            <w:bookmarkStart w:id="305" w:name="_GoBack"/>
            <w:bookmarkEnd w:id="305"/>
            <w:r>
              <w:rPr>
                <w:rFonts w:hint="default" w:ascii="Times New Roman" w:hAnsi="Times New Roman" w:eastAsia="宋体" w:cs="Times New Roman"/>
                <w:color w:val="auto"/>
                <w:sz w:val="21"/>
                <w:szCs w:val="21"/>
                <w:lang w:val="en-US" w:eastAsia="zh-CN"/>
              </w:rPr>
              <w:t>0</w:t>
            </w:r>
            <w:r>
              <w:rPr>
                <w:rFonts w:hint="default" w:ascii="Times New Roman" w:hAnsi="Times New Roman" w:eastAsia="宋体" w:cs="Times New Roman"/>
                <w:color w:val="auto"/>
                <w:sz w:val="21"/>
                <w:szCs w:val="21"/>
              </w:rPr>
              <w:t>年全区拟新增省级宜居宜业和美乡村</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0个</w:t>
            </w:r>
            <w:r>
              <w:rPr>
                <w:rFonts w:hint="default" w:ascii="Times New Roman" w:hAnsi="Times New Roman" w:eastAsia="宋体" w:cs="Times New Roman"/>
                <w:color w:val="auto"/>
                <w:sz w:val="21"/>
                <w:szCs w:val="21"/>
                <w:lang w:eastAsia="zh-CN"/>
              </w:rPr>
              <w:t>。</w:t>
            </w:r>
          </w:p>
        </w:tc>
      </w:tr>
      <w:bookmarkEnd w:id="301"/>
      <w:bookmarkEnd w:id="302"/>
      <w:tr w14:paraId="6306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530" w:type="dxa"/>
            <w:shd w:val="clear" w:color="auto" w:fill="auto"/>
            <w:vAlign w:val="center"/>
          </w:tcPr>
          <w:p w14:paraId="7F738EB8">
            <w:pPr>
              <w:keepNext w:val="0"/>
              <w:keepLines w:val="0"/>
              <w:widowControl w:val="0"/>
              <w:suppressLineNumbers w:val="0"/>
              <w:spacing w:before="0" w:beforeAutospacing="0" w:after="0" w:afterAutospacing="0" w:line="36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bookmarkStart w:id="303" w:name="_Toc512158837"/>
            <w:bookmarkStart w:id="304" w:name="_Toc341033894"/>
            <w:r>
              <w:rPr>
                <w:rFonts w:hint="eastAsia" w:ascii="Times New Roman" w:hAnsi="Times New Roman" w:eastAsia="宋体" w:cs="Times New Roman"/>
                <w:color w:val="auto"/>
                <w:sz w:val="21"/>
                <w:szCs w:val="21"/>
                <w:lang w:val="en-US" w:eastAsia="zh-CN"/>
              </w:rPr>
              <w:t>25</w:t>
            </w:r>
          </w:p>
        </w:tc>
        <w:tc>
          <w:tcPr>
            <w:tcW w:w="645" w:type="dxa"/>
            <w:vMerge w:val="continue"/>
            <w:shd w:val="clear" w:color="auto" w:fill="auto"/>
            <w:vAlign w:val="center"/>
          </w:tcPr>
          <w:p w14:paraId="4D70D1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6A5E51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三星垃圾中转站</w:t>
            </w:r>
          </w:p>
          <w:p w14:paraId="71D879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建设项目</w:t>
            </w:r>
          </w:p>
        </w:tc>
        <w:tc>
          <w:tcPr>
            <w:tcW w:w="792" w:type="dxa"/>
            <w:shd w:val="clear" w:color="auto" w:fill="auto"/>
            <w:vAlign w:val="center"/>
          </w:tcPr>
          <w:p w14:paraId="3EC9A5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3500</w:t>
            </w:r>
          </w:p>
        </w:tc>
        <w:tc>
          <w:tcPr>
            <w:tcW w:w="859" w:type="dxa"/>
            <w:shd w:val="clear" w:color="auto" w:fill="auto"/>
            <w:vAlign w:val="center"/>
          </w:tcPr>
          <w:p w14:paraId="1BEC4D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w:t>
            </w:r>
          </w:p>
        </w:tc>
        <w:tc>
          <w:tcPr>
            <w:tcW w:w="7975" w:type="dxa"/>
            <w:shd w:val="clear" w:color="auto" w:fill="auto"/>
            <w:vAlign w:val="center"/>
          </w:tcPr>
          <w:p w14:paraId="0C710E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1"/>
                <w:szCs w:val="21"/>
              </w:rPr>
              <w:t>三星镇人民政府就选址、项目可行性等流程展开过前期论证，明确“智能化、绿色化”建设方向，“十五五”期间将开工建设</w:t>
            </w:r>
            <w:r>
              <w:rPr>
                <w:rFonts w:hint="default" w:ascii="Times New Roman" w:hAnsi="Times New Roman" w:eastAsia="宋体" w:cs="Times New Roman"/>
                <w:color w:val="auto"/>
                <w:sz w:val="21"/>
                <w:szCs w:val="21"/>
                <w:lang w:eastAsia="zh-CN"/>
              </w:rPr>
              <w:t>。</w:t>
            </w:r>
          </w:p>
        </w:tc>
      </w:tr>
      <w:tr w14:paraId="6202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9" w:hRule="atLeast"/>
          <w:jc w:val="center"/>
        </w:trPr>
        <w:tc>
          <w:tcPr>
            <w:tcW w:w="530" w:type="dxa"/>
            <w:shd w:val="clear" w:color="auto" w:fill="auto"/>
            <w:vAlign w:val="center"/>
          </w:tcPr>
          <w:p w14:paraId="55FED0F6">
            <w:pPr>
              <w:keepNext w:val="0"/>
              <w:keepLines w:val="0"/>
              <w:widowControl w:val="0"/>
              <w:suppressLineNumbers w:val="0"/>
              <w:spacing w:before="0" w:beforeAutospacing="0" w:after="0" w:afterAutospacing="0" w:line="36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26</w:t>
            </w:r>
          </w:p>
        </w:tc>
        <w:tc>
          <w:tcPr>
            <w:tcW w:w="645" w:type="dxa"/>
            <w:vMerge w:val="continue"/>
            <w:shd w:val="clear" w:color="auto" w:fill="auto"/>
            <w:vAlign w:val="center"/>
          </w:tcPr>
          <w:p w14:paraId="4C6C9B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p>
        </w:tc>
        <w:tc>
          <w:tcPr>
            <w:tcW w:w="2191" w:type="dxa"/>
            <w:shd w:val="clear" w:color="auto" w:fill="auto"/>
            <w:vAlign w:val="center"/>
          </w:tcPr>
          <w:p w14:paraId="231EF6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农村生态河道</w:t>
            </w:r>
          </w:p>
          <w:p w14:paraId="2406E8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建设项目</w:t>
            </w:r>
          </w:p>
        </w:tc>
        <w:tc>
          <w:tcPr>
            <w:tcW w:w="792" w:type="dxa"/>
            <w:shd w:val="clear" w:color="auto" w:fill="auto"/>
            <w:vAlign w:val="center"/>
          </w:tcPr>
          <w:p w14:paraId="646F94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4800</w:t>
            </w:r>
          </w:p>
        </w:tc>
        <w:tc>
          <w:tcPr>
            <w:tcW w:w="859" w:type="dxa"/>
            <w:shd w:val="clear" w:color="auto" w:fill="auto"/>
            <w:vAlign w:val="center"/>
          </w:tcPr>
          <w:p w14:paraId="15BADF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w:t>
            </w:r>
          </w:p>
        </w:tc>
        <w:tc>
          <w:tcPr>
            <w:tcW w:w="7975" w:type="dxa"/>
            <w:shd w:val="clear" w:color="auto" w:fill="auto"/>
            <w:vAlign w:val="center"/>
          </w:tcPr>
          <w:p w14:paraId="56E113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firstLine="420" w:firstLineChars="200"/>
              <w:jc w:val="left"/>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sz w:val="21"/>
                <w:szCs w:val="21"/>
              </w:rPr>
              <w:t>规划建设农村生态河道13条</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段</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，长度71千米，新建木桩护岸24千米，纯植物防护118千米，新增河坡绿化35万平方米，有效</w:t>
            </w:r>
            <w:r>
              <w:rPr>
                <w:rFonts w:hint="default" w:ascii="Times New Roman" w:hAnsi="Times New Roman" w:eastAsia="宋体" w:cs="Times New Roman"/>
                <w:color w:val="auto"/>
                <w:sz w:val="21"/>
                <w:szCs w:val="21"/>
                <w:lang w:val="en-US" w:eastAsia="zh-CN"/>
              </w:rPr>
              <w:t>地</w:t>
            </w:r>
            <w:r>
              <w:rPr>
                <w:rFonts w:hint="default" w:ascii="Times New Roman" w:hAnsi="Times New Roman" w:eastAsia="宋体" w:cs="Times New Roman"/>
                <w:color w:val="auto"/>
                <w:sz w:val="21"/>
                <w:szCs w:val="21"/>
              </w:rPr>
              <w:t>提高全区农村生态河道覆盖率。</w:t>
            </w:r>
          </w:p>
        </w:tc>
      </w:tr>
      <w:bookmarkEnd w:id="303"/>
      <w:bookmarkEnd w:id="304"/>
      <w:tr w14:paraId="7BAF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530" w:type="dxa"/>
            <w:shd w:val="clear" w:color="auto" w:fill="auto"/>
            <w:vAlign w:val="center"/>
          </w:tcPr>
          <w:p w14:paraId="6CA2ED37">
            <w:pPr>
              <w:keepNext w:val="0"/>
              <w:keepLines w:val="0"/>
              <w:widowControl w:val="0"/>
              <w:suppressLineNumbers w:val="0"/>
              <w:spacing w:before="0" w:beforeAutospacing="0" w:after="0" w:afterAutospacing="0" w:line="36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27</w:t>
            </w:r>
          </w:p>
        </w:tc>
        <w:tc>
          <w:tcPr>
            <w:tcW w:w="645" w:type="dxa"/>
            <w:vMerge w:val="restart"/>
            <w:shd w:val="clear" w:color="auto" w:fill="auto"/>
            <w:vAlign w:val="center"/>
          </w:tcPr>
          <w:p w14:paraId="7685C5FA">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城乡融合发展工程</w:t>
            </w:r>
          </w:p>
        </w:tc>
        <w:tc>
          <w:tcPr>
            <w:tcW w:w="2191" w:type="dxa"/>
            <w:shd w:val="clear" w:color="auto" w:fill="auto"/>
            <w:vAlign w:val="center"/>
          </w:tcPr>
          <w:p w14:paraId="1E88589E">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海门城西</w:t>
            </w:r>
          </w:p>
          <w:p w14:paraId="17CA8B72">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天然气门站</w:t>
            </w:r>
          </w:p>
          <w:p w14:paraId="4A02C380">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及供气管网工程</w:t>
            </w:r>
          </w:p>
        </w:tc>
        <w:tc>
          <w:tcPr>
            <w:tcW w:w="792" w:type="dxa"/>
            <w:shd w:val="clear" w:color="auto" w:fill="auto"/>
            <w:vAlign w:val="center"/>
          </w:tcPr>
          <w:p w14:paraId="5DD3FFDC">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w:t>
            </w:r>
          </w:p>
        </w:tc>
        <w:tc>
          <w:tcPr>
            <w:tcW w:w="859" w:type="dxa"/>
            <w:shd w:val="clear" w:color="auto" w:fill="auto"/>
            <w:vAlign w:val="center"/>
          </w:tcPr>
          <w:p w14:paraId="1DA586DD">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3000</w:t>
            </w:r>
          </w:p>
        </w:tc>
        <w:tc>
          <w:tcPr>
            <w:tcW w:w="7975" w:type="dxa"/>
            <w:shd w:val="clear" w:color="auto" w:fill="auto"/>
            <w:vAlign w:val="center"/>
          </w:tcPr>
          <w:p w14:paraId="7CF8BFFB">
            <w:pPr>
              <w:keepNext w:val="0"/>
              <w:keepLines w:val="0"/>
              <w:widowControl w:val="0"/>
              <w:suppressLineNumbers w:val="0"/>
              <w:spacing w:before="0" w:beforeAutospacing="0" w:after="0" w:afterAutospacing="0" w:line="300" w:lineRule="exact"/>
              <w:ind w:left="0" w:leftChars="0" w:right="0" w:rightChars="0" w:firstLine="420" w:firstLineChars="200"/>
              <w:jc w:val="left"/>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在海门经济技术开发区境内“中俄东线”57号阀室东侧新建一座城市天然气门站，接收中俄东线高压天然气，调压后输入海门城区天然气管道（沿江公路高压燃气管道）；项目占地7237平方米，设计最大供气能力10万标准立方米/小时，包含综合楼、库房、调压计量工艺区、上游接入和下游输出管道</w:t>
            </w:r>
            <w:r>
              <w:rPr>
                <w:rFonts w:hint="default" w:ascii="Times New Roman" w:hAnsi="Times New Roman" w:eastAsia="宋体" w:cs="Times New Roman"/>
                <w:color w:val="auto"/>
                <w:sz w:val="21"/>
                <w:szCs w:val="21"/>
                <w:lang w:eastAsia="zh-CN"/>
              </w:rPr>
              <w:t>。</w:t>
            </w:r>
          </w:p>
        </w:tc>
      </w:tr>
      <w:tr w14:paraId="3834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530" w:type="dxa"/>
            <w:shd w:val="clear" w:color="auto" w:fill="auto"/>
            <w:vAlign w:val="center"/>
          </w:tcPr>
          <w:p w14:paraId="458D6B53">
            <w:pPr>
              <w:keepNext w:val="0"/>
              <w:keepLines w:val="0"/>
              <w:widowControl w:val="0"/>
              <w:suppressLineNumbers w:val="0"/>
              <w:spacing w:before="0" w:beforeAutospacing="0" w:after="0" w:afterAutospacing="0" w:line="36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 xml:space="preserve"> </w:t>
            </w:r>
            <w:r>
              <w:rPr>
                <w:rFonts w:hint="default" w:ascii="Times New Roman" w:hAnsi="Times New Roman" w:eastAsia="宋体" w:cs="Times New Roman"/>
                <w:color w:val="auto"/>
                <w:sz w:val="21"/>
                <w:szCs w:val="21"/>
                <w:lang w:val="en-US" w:eastAsia="zh-CN" w:bidi="ar-SA"/>
              </w:rPr>
              <w:t>28</w:t>
            </w:r>
          </w:p>
        </w:tc>
        <w:tc>
          <w:tcPr>
            <w:tcW w:w="645" w:type="dxa"/>
            <w:vMerge w:val="continue"/>
            <w:shd w:val="clear" w:color="auto" w:fill="auto"/>
            <w:vAlign w:val="center"/>
          </w:tcPr>
          <w:p w14:paraId="5BCCF7AC">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p>
        </w:tc>
        <w:tc>
          <w:tcPr>
            <w:tcW w:w="2191" w:type="dxa"/>
            <w:shd w:val="clear" w:color="auto" w:fill="auto"/>
            <w:vAlign w:val="center"/>
          </w:tcPr>
          <w:p w14:paraId="544964DE">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海门港新区门站</w:t>
            </w:r>
          </w:p>
          <w:p w14:paraId="7DC7BCF1">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bidi="ar-SA"/>
              </w:rPr>
              <w:t>建设工程</w:t>
            </w:r>
          </w:p>
        </w:tc>
        <w:tc>
          <w:tcPr>
            <w:tcW w:w="792" w:type="dxa"/>
            <w:shd w:val="clear" w:color="auto" w:fill="auto"/>
            <w:vAlign w:val="center"/>
          </w:tcPr>
          <w:p w14:paraId="35B3D14F">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bidi="ar-SA"/>
              </w:rPr>
              <w:t>---</w:t>
            </w:r>
          </w:p>
        </w:tc>
        <w:tc>
          <w:tcPr>
            <w:tcW w:w="859" w:type="dxa"/>
            <w:shd w:val="clear" w:color="auto" w:fill="auto"/>
            <w:vAlign w:val="center"/>
          </w:tcPr>
          <w:p w14:paraId="72583B06">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1200</w:t>
            </w:r>
          </w:p>
        </w:tc>
        <w:tc>
          <w:tcPr>
            <w:tcW w:w="7975" w:type="dxa"/>
            <w:shd w:val="clear" w:color="auto" w:fill="auto"/>
            <w:vAlign w:val="center"/>
          </w:tcPr>
          <w:p w14:paraId="744D5DDE">
            <w:pPr>
              <w:keepNext w:val="0"/>
              <w:keepLines w:val="0"/>
              <w:widowControl w:val="0"/>
              <w:suppressLineNumbers w:val="0"/>
              <w:spacing w:before="0" w:beforeAutospacing="0" w:after="0" w:afterAutospacing="0" w:line="300" w:lineRule="exact"/>
              <w:ind w:left="0" w:leftChars="0" w:right="0" w:rightChars="0" w:firstLine="420" w:firstLineChars="200"/>
              <w:jc w:val="left"/>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拟在海门港经济技术开发区境内“启通输气管线”海门阀室东侧新建一座城市天然气门站，接收西气东输高压天然气，调压后输入海门港经济开发区中压A级天然气管道；项目占地约3600平方米，设计最大供气能力5万标准立方米/小时，包含生产辅助用房，调压计量工艺区，上游接入和下游输出管道，加强海门经开区供气能力，更好地为当地企业用气提供保障。</w:t>
            </w:r>
          </w:p>
        </w:tc>
      </w:tr>
      <w:tr w14:paraId="7986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30" w:type="dxa"/>
            <w:shd w:val="clear" w:color="auto" w:fill="auto"/>
            <w:vAlign w:val="center"/>
          </w:tcPr>
          <w:p w14:paraId="6BE7089D">
            <w:pPr>
              <w:keepNext w:val="0"/>
              <w:keepLines w:val="0"/>
              <w:widowControl w:val="0"/>
              <w:suppressLineNumbers w:val="0"/>
              <w:spacing w:before="0" w:beforeAutospacing="0" w:after="0" w:afterAutospacing="0" w:line="36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29</w:t>
            </w:r>
          </w:p>
        </w:tc>
        <w:tc>
          <w:tcPr>
            <w:tcW w:w="645" w:type="dxa"/>
            <w:vMerge w:val="continue"/>
            <w:shd w:val="clear" w:color="auto" w:fill="auto"/>
            <w:vAlign w:val="center"/>
          </w:tcPr>
          <w:p w14:paraId="15D10A99">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rPr>
            </w:pPr>
          </w:p>
        </w:tc>
        <w:tc>
          <w:tcPr>
            <w:tcW w:w="2191" w:type="dxa"/>
            <w:shd w:val="clear" w:color="auto" w:fill="auto"/>
            <w:vAlign w:val="center"/>
          </w:tcPr>
          <w:p w14:paraId="3BF75679">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南通区域供水</w:t>
            </w:r>
          </w:p>
          <w:p w14:paraId="11C62BC8">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平海线建设工程</w:t>
            </w:r>
          </w:p>
        </w:tc>
        <w:tc>
          <w:tcPr>
            <w:tcW w:w="792" w:type="dxa"/>
            <w:shd w:val="clear" w:color="auto" w:fill="auto"/>
            <w:vAlign w:val="center"/>
          </w:tcPr>
          <w:p w14:paraId="2CA90626">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8575</w:t>
            </w:r>
          </w:p>
        </w:tc>
        <w:tc>
          <w:tcPr>
            <w:tcW w:w="859" w:type="dxa"/>
            <w:shd w:val="clear" w:color="auto" w:fill="auto"/>
            <w:vAlign w:val="center"/>
          </w:tcPr>
          <w:p w14:paraId="5DE84BB6">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21353</w:t>
            </w:r>
          </w:p>
        </w:tc>
        <w:tc>
          <w:tcPr>
            <w:tcW w:w="7975" w:type="dxa"/>
            <w:shd w:val="clear" w:color="auto" w:fill="auto"/>
            <w:vAlign w:val="center"/>
          </w:tcPr>
          <w:p w14:paraId="1076C01B">
            <w:pPr>
              <w:keepNext w:val="0"/>
              <w:keepLines w:val="0"/>
              <w:widowControl w:val="0"/>
              <w:suppressLineNumbers w:val="0"/>
              <w:spacing w:before="0" w:beforeAutospacing="0" w:after="0" w:afterAutospacing="0" w:line="300" w:lineRule="exact"/>
              <w:ind w:left="0" w:leftChars="0" w:right="0" w:rightChars="0" w:firstLine="420" w:firstLineChars="200"/>
              <w:jc w:val="left"/>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跨区域供水管网新建项目。新建DN1400供水管线线路长度38600米</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其中共槽段9500米），新建DN1000供水管线线路长度4200米，新建阀门井20座</w:t>
            </w:r>
            <w:r>
              <w:rPr>
                <w:rFonts w:hint="default" w:ascii="Times New Roman" w:hAnsi="Times New Roman" w:eastAsia="宋体" w:cs="Times New Roman"/>
                <w:color w:val="auto"/>
                <w:sz w:val="21"/>
                <w:szCs w:val="21"/>
                <w:lang w:eastAsia="zh-CN"/>
              </w:rPr>
              <w:t>。</w:t>
            </w:r>
          </w:p>
        </w:tc>
      </w:tr>
      <w:tr w14:paraId="717A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530" w:type="dxa"/>
            <w:shd w:val="clear" w:color="auto" w:fill="auto"/>
            <w:vAlign w:val="center"/>
          </w:tcPr>
          <w:p w14:paraId="67228741">
            <w:pPr>
              <w:keepNext w:val="0"/>
              <w:keepLines w:val="0"/>
              <w:widowControl w:val="0"/>
              <w:suppressLineNumbers w:val="0"/>
              <w:spacing w:before="0" w:beforeAutospacing="0" w:after="0" w:afterAutospacing="0" w:line="36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30</w:t>
            </w:r>
          </w:p>
        </w:tc>
        <w:tc>
          <w:tcPr>
            <w:tcW w:w="645" w:type="dxa"/>
            <w:vMerge w:val="continue"/>
            <w:shd w:val="clear" w:color="auto" w:fill="auto"/>
            <w:vAlign w:val="center"/>
          </w:tcPr>
          <w:p w14:paraId="6492FF0E">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rPr>
            </w:pPr>
          </w:p>
        </w:tc>
        <w:tc>
          <w:tcPr>
            <w:tcW w:w="2191" w:type="dxa"/>
            <w:shd w:val="clear" w:color="auto" w:fill="auto"/>
            <w:vAlign w:val="center"/>
          </w:tcPr>
          <w:p w14:paraId="2428E130">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南通区域供水</w:t>
            </w:r>
          </w:p>
          <w:p w14:paraId="65A1F79F">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通汇线改造工程</w:t>
            </w:r>
          </w:p>
        </w:tc>
        <w:tc>
          <w:tcPr>
            <w:tcW w:w="792" w:type="dxa"/>
            <w:shd w:val="clear" w:color="auto" w:fill="auto"/>
            <w:vAlign w:val="center"/>
          </w:tcPr>
          <w:p w14:paraId="0C0935E8">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w:t>
            </w:r>
          </w:p>
        </w:tc>
        <w:tc>
          <w:tcPr>
            <w:tcW w:w="859" w:type="dxa"/>
            <w:shd w:val="clear" w:color="auto" w:fill="auto"/>
            <w:vAlign w:val="center"/>
          </w:tcPr>
          <w:p w14:paraId="6F4FCD95">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4300</w:t>
            </w:r>
          </w:p>
        </w:tc>
        <w:tc>
          <w:tcPr>
            <w:tcW w:w="7975" w:type="dxa"/>
            <w:shd w:val="clear" w:color="auto" w:fill="auto"/>
            <w:vAlign w:val="center"/>
          </w:tcPr>
          <w:p w14:paraId="31EB6A59">
            <w:pPr>
              <w:keepNext w:val="0"/>
              <w:keepLines w:val="0"/>
              <w:widowControl w:val="0"/>
              <w:suppressLineNumbers w:val="0"/>
              <w:spacing w:before="0" w:beforeAutospacing="0" w:after="0" w:afterAutospacing="0" w:line="300" w:lineRule="exact"/>
              <w:ind w:left="0" w:leftChars="0" w:right="0" w:rightChars="0" w:firstLine="420" w:firstLineChars="200"/>
              <w:jc w:val="left"/>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改造DN1600供水管13.62公里，管材为PCCP，新建 DN1600供水管12.32公里、DN1400供水管4.06公里，均为球墨铸铁管</w:t>
            </w:r>
            <w:r>
              <w:rPr>
                <w:rFonts w:hint="default" w:ascii="Times New Roman" w:hAnsi="Times New Roman" w:eastAsia="宋体" w:cs="Times New Roman"/>
                <w:color w:val="auto"/>
                <w:sz w:val="21"/>
                <w:szCs w:val="21"/>
                <w:lang w:eastAsia="zh-CN"/>
              </w:rPr>
              <w:t>。</w:t>
            </w:r>
          </w:p>
        </w:tc>
      </w:tr>
      <w:tr w14:paraId="39BD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530" w:type="dxa"/>
            <w:shd w:val="clear" w:color="auto" w:fill="auto"/>
            <w:vAlign w:val="center"/>
          </w:tcPr>
          <w:p w14:paraId="35F47FCD">
            <w:pPr>
              <w:keepNext w:val="0"/>
              <w:keepLines w:val="0"/>
              <w:widowControl w:val="0"/>
              <w:suppressLineNumbers w:val="0"/>
              <w:spacing w:before="0" w:beforeAutospacing="0" w:after="0" w:afterAutospacing="0" w:line="36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31</w:t>
            </w:r>
          </w:p>
        </w:tc>
        <w:tc>
          <w:tcPr>
            <w:tcW w:w="645" w:type="dxa"/>
            <w:vMerge w:val="continue"/>
            <w:shd w:val="clear" w:color="auto" w:fill="auto"/>
            <w:vAlign w:val="center"/>
          </w:tcPr>
          <w:p w14:paraId="2E2148CE">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p>
        </w:tc>
        <w:tc>
          <w:tcPr>
            <w:tcW w:w="2191" w:type="dxa"/>
            <w:shd w:val="clear" w:color="auto" w:fill="auto"/>
            <w:vAlign w:val="center"/>
          </w:tcPr>
          <w:p w14:paraId="6A4BA1BC">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农路农桥建设</w:t>
            </w:r>
          </w:p>
          <w:p w14:paraId="759DF417">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项目</w:t>
            </w:r>
          </w:p>
        </w:tc>
        <w:tc>
          <w:tcPr>
            <w:tcW w:w="792" w:type="dxa"/>
            <w:shd w:val="clear" w:color="auto" w:fill="auto"/>
            <w:vAlign w:val="center"/>
          </w:tcPr>
          <w:p w14:paraId="6DD55C5D">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4500</w:t>
            </w:r>
          </w:p>
        </w:tc>
        <w:tc>
          <w:tcPr>
            <w:tcW w:w="859" w:type="dxa"/>
            <w:shd w:val="clear" w:color="auto" w:fill="auto"/>
            <w:vAlign w:val="center"/>
          </w:tcPr>
          <w:p w14:paraId="549DEEBC">
            <w:pPr>
              <w:keepNext w:val="0"/>
              <w:keepLines w:val="0"/>
              <w:widowControl w:val="0"/>
              <w:suppressLineNumbers w:val="0"/>
              <w:spacing w:before="0" w:beforeAutospacing="0" w:after="0" w:afterAutospacing="0" w:line="30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w:t>
            </w:r>
          </w:p>
        </w:tc>
        <w:tc>
          <w:tcPr>
            <w:tcW w:w="7975" w:type="dxa"/>
            <w:shd w:val="clear" w:color="auto" w:fill="auto"/>
            <w:vAlign w:val="center"/>
          </w:tcPr>
          <w:p w14:paraId="576C6E62">
            <w:pPr>
              <w:keepNext w:val="0"/>
              <w:keepLines w:val="0"/>
              <w:widowControl w:val="0"/>
              <w:suppressLineNumbers w:val="0"/>
              <w:spacing w:before="0" w:beforeAutospacing="0" w:after="0" w:afterAutospacing="0" w:line="300" w:lineRule="exact"/>
              <w:ind w:left="0" w:leftChars="0" w:right="0" w:rightChars="0" w:firstLine="420" w:firstLineChars="200"/>
              <w:jc w:val="left"/>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深入学习贯彻习近平总书记关于进一步做好“四好农村路”工作的重要指示精神，实施好新一轮农村公路提升行动，持续推动我省“四好农村路”高质量发展，加快推进新时代新征程“四好农村路”现代化建设。建设农路5公里，农桥15座，安防60公里，进一步提升村民出行条件和安全系数。</w:t>
            </w:r>
          </w:p>
        </w:tc>
      </w:tr>
    </w:tbl>
    <w:p w14:paraId="53B6B8D9">
      <w:pPr>
        <w:pStyle w:val="22"/>
        <w:pageBreakBefore w:val="0"/>
        <w:wordWrap/>
        <w:overflowPunct/>
        <w:topLinePunct w:val="0"/>
        <w:bidi w:val="0"/>
        <w:spacing w:beforeAutospacing="0" w:afterAutospacing="0" w:line="360" w:lineRule="auto"/>
        <w:ind w:left="0" w:leftChars="0" w:firstLine="0" w:firstLineChars="0"/>
        <w:jc w:val="both"/>
        <w:rPr>
          <w:rFonts w:hint="default" w:ascii="Times New Roman" w:hAnsi="Times New Roman" w:eastAsia="楷体_GB2312" w:cs="Times New Roman"/>
          <w:color w:val="auto"/>
          <w:sz w:val="28"/>
          <w:szCs w:val="28"/>
        </w:rPr>
      </w:pPr>
    </w:p>
    <w:sectPr>
      <w:footnotePr>
        <w:numFmt w:val="decimalEnclosedCircleChinese"/>
        <w:numRestart w:val="eachPage"/>
      </w:footnotePr>
      <w:pgSz w:w="16838" w:h="11906" w:orient="landscape"/>
      <w:pgMar w:top="1531" w:right="1984" w:bottom="1531" w:left="1814" w:header="510" w:footer="1474" w:gutter="0"/>
      <w:pgNumType w:fmt="decimal"/>
      <w:cols w:space="0" w:num="1"/>
      <w:rtlGutter w:val="0"/>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DCE875-F866-4FF4-9748-4218CFECFE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AD18B896-5EC8-4F29-B20F-BDCD753AD916}"/>
  </w:font>
  <w:font w:name="Arial Unicode MS">
    <w:panose1 w:val="020B0604020202020204"/>
    <w:charset w:val="86"/>
    <w:family w:val="auto"/>
    <w:pitch w:val="default"/>
    <w:sig w:usb0="FFFFFFFF" w:usb1="E9FFFFFF" w:usb2="0000003F" w:usb3="00000000" w:csb0="603F01FF" w:csb1="FFFF0000"/>
  </w:font>
  <w:font w:name="STHeiti">
    <w:altName w:val="宋体"/>
    <w:panose1 w:val="02010600040101010101"/>
    <w:charset w:val="86"/>
    <w:family w:val="auto"/>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embedRegular r:id="rId3" w:fontKey="{BC0F5335-70AF-4C73-BF35-90D13054E10F}"/>
  </w:font>
  <w:font w:name="Helvetica">
    <w:altName w:val="Arial"/>
    <w:panose1 w:val="00000000000000000000"/>
    <w:charset w:val="00"/>
    <w:family w:val="auto"/>
    <w:pitch w:val="default"/>
    <w:sig w:usb0="00000000" w:usb1="00000000" w:usb2="00000000" w:usb3="00000000" w:csb0="2000019F" w:csb1="4F01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 w:name="Times New Roman Regular">
    <w:altName w:val="Times New Roman"/>
    <w:panose1 w:val="02020503050405090304"/>
    <w:charset w:val="00"/>
    <w:family w:val="auto"/>
    <w:pitch w:val="default"/>
    <w:sig w:usb0="00000000" w:usb1="00000000" w:usb2="00000001" w:usb3="00000000" w:csb0="400001BF" w:csb1="DFF70000"/>
    <w:embedRegular r:id="rId4" w:fontKey="{94579138-4156-4760-A9E0-C45A35D5BBA5}"/>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5" w:fontKey="{3DB8E77B-F301-45C8-B06B-13B03107C068}"/>
  </w:font>
  <w:font w:name="微软雅黑">
    <w:panose1 w:val="020B0503020204020204"/>
    <w:charset w:val="86"/>
    <w:family w:val="auto"/>
    <w:pitch w:val="default"/>
    <w:sig w:usb0="80000287" w:usb1="2ACF3C50" w:usb2="00000016" w:usb3="00000000" w:csb0="0004001F" w:csb1="00000000"/>
    <w:embedRegular r:id="rId6" w:fontKey="{B08951EC-3581-4816-9AAC-AD08832A52E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92136">
    <w:pPr>
      <w:pStyle w:val="14"/>
    </w:pPr>
    <w:r>
      <mc:AlternateContent>
        <mc:Choice Requires="wps">
          <w:drawing>
            <wp:anchor distT="0" distB="0" distL="114300" distR="114300" simplePos="0" relativeHeight="251659264" behindDoc="0" locked="0" layoutInCell="1" allowOverlap="1">
              <wp:simplePos x="0" y="0"/>
              <wp:positionH relativeFrom="margin">
                <wp:posOffset>2630170</wp:posOffset>
              </wp:positionH>
              <wp:positionV relativeFrom="paragraph">
                <wp:posOffset>0</wp:posOffset>
              </wp:positionV>
              <wp:extent cx="56642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6642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975AD1">
                          <w:pPr>
                            <w:pStyle w:val="14"/>
                          </w:pPr>
                          <w:r>
                            <w:rPr>
                              <w:rFonts w:ascii="Times New Roman Regular" w:hAnsi="Times New Roman Regular" w:cs="Times New Roman Regular"/>
                              <w:sz w:val="21"/>
                              <w:szCs w:val="21"/>
                            </w:rPr>
                            <w:fldChar w:fldCharType="begin"/>
                          </w:r>
                          <w:r>
                            <w:rPr>
                              <w:rFonts w:ascii="Times New Roman Regular" w:hAnsi="Times New Roman Regular" w:cs="Times New Roman Regular"/>
                              <w:sz w:val="21"/>
                              <w:szCs w:val="21"/>
                            </w:rPr>
                            <w:instrText xml:space="preserve"> PAGE  \* MERGEFORMAT </w:instrText>
                          </w:r>
                          <w:r>
                            <w:rPr>
                              <w:rFonts w:ascii="Times New Roman Regular" w:hAnsi="Times New Roman Regular" w:cs="Times New Roman Regular"/>
                              <w:sz w:val="21"/>
                              <w:szCs w:val="21"/>
                            </w:rPr>
                            <w:fldChar w:fldCharType="separate"/>
                          </w:r>
                          <w:r>
                            <w:rPr>
                              <w:rFonts w:ascii="Times New Roman Regular" w:hAnsi="Times New Roman Regular" w:cs="Times New Roman Regular"/>
                              <w:sz w:val="21"/>
                              <w:szCs w:val="21"/>
                            </w:rPr>
                            <w:t>1</w:t>
                          </w:r>
                          <w:r>
                            <w:rPr>
                              <w:rFonts w:ascii="Times New Roman Regular" w:hAnsi="Times New Roman Regular" w:cs="Times New Roman Regular"/>
                              <w:sz w:val="21"/>
                              <w:szCs w:val="21"/>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7.1pt;margin-top:0pt;height:144pt;width:44.6pt;mso-position-horizontal-relative:margin;z-index:251659264;mso-width-relative:page;mso-height-relative:page;" filled="f" stroked="f" coordsize="21600,21600" o:gfxdata="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NtYvC1gAAAAgBAAAPAAAAAAAAAAEAIAAAACIAAABkcnMvZG93bnJldi54bWxQ&#10;SwECFAAUAAAACACHTuJA8WvOTTICAABWBAAADgAAAAAAAAABACAAAAAlAQAAZHJzL2Uyb0RvYy54&#10;bWxQSwUGAAAAAAYABgBZAQAAyQUAAAAA&#10;">
              <v:fill on="f" focussize="0,0"/>
              <v:stroke on="f" weight="0.5pt"/>
              <v:imagedata o:title=""/>
              <o:lock v:ext="edit" aspectratio="f"/>
              <v:textbox inset="0mm,0mm,0mm,0mm" style="mso-fit-shape-to-text:t;">
                <w:txbxContent>
                  <w:p w14:paraId="5C975AD1">
                    <w:pPr>
                      <w:pStyle w:val="14"/>
                    </w:pPr>
                    <w:r>
                      <w:rPr>
                        <w:rFonts w:ascii="Times New Roman Regular" w:hAnsi="Times New Roman Regular" w:cs="Times New Roman Regular"/>
                        <w:sz w:val="21"/>
                        <w:szCs w:val="21"/>
                      </w:rPr>
                      <w:fldChar w:fldCharType="begin"/>
                    </w:r>
                    <w:r>
                      <w:rPr>
                        <w:rFonts w:ascii="Times New Roman Regular" w:hAnsi="Times New Roman Regular" w:cs="Times New Roman Regular"/>
                        <w:sz w:val="21"/>
                        <w:szCs w:val="21"/>
                      </w:rPr>
                      <w:instrText xml:space="preserve"> PAGE  \* MERGEFORMAT </w:instrText>
                    </w:r>
                    <w:r>
                      <w:rPr>
                        <w:rFonts w:ascii="Times New Roman Regular" w:hAnsi="Times New Roman Regular" w:cs="Times New Roman Regular"/>
                        <w:sz w:val="21"/>
                        <w:szCs w:val="21"/>
                      </w:rPr>
                      <w:fldChar w:fldCharType="separate"/>
                    </w:r>
                    <w:r>
                      <w:rPr>
                        <w:rFonts w:ascii="Times New Roman Regular" w:hAnsi="Times New Roman Regular" w:cs="Times New Roman Regular"/>
                        <w:sz w:val="21"/>
                        <w:szCs w:val="21"/>
                      </w:rPr>
                      <w:t>1</w:t>
                    </w:r>
                    <w:r>
                      <w:rPr>
                        <w:rFonts w:ascii="Times New Roman Regular" w:hAnsi="Times New Roman Regular" w:cs="Times New Roman Regular"/>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28D8E">
    <w:pPr>
      <w:kinsoku w:val="0"/>
      <w:autoSpaceDE w:val="0"/>
      <w:autoSpaceDN w:val="0"/>
      <w:adjustRightInd w:val="0"/>
      <w:snapToGrid w:val="0"/>
      <w:spacing w:line="234" w:lineRule="auto"/>
      <w:jc w:val="left"/>
      <w:textAlignment w:val="baseline"/>
      <w:rPr>
        <w:rFonts w:ascii="宋体" w:hAnsi="宋体" w:eastAsia="宋体" w:cs="宋体"/>
        <w:snapToGrid w:val="0"/>
        <w:color w:val="000000"/>
        <w:sz w:val="28"/>
        <w:szCs w:val="28"/>
        <w:lang w:eastAsia="en-US"/>
      </w:rPr>
    </w:pPr>
    <w:r>
      <w:rPr>
        <w:sz w:val="28"/>
      </w:rPr>
      <mc:AlternateContent>
        <mc:Choice Requires="wps">
          <w:drawing>
            <wp:anchor distT="0" distB="0" distL="114300" distR="114300" simplePos="0" relativeHeight="251660288" behindDoc="0" locked="0" layoutInCell="1" allowOverlap="1">
              <wp:simplePos x="0" y="0"/>
              <wp:positionH relativeFrom="margin">
                <wp:posOffset>2276475</wp:posOffset>
              </wp:positionH>
              <wp:positionV relativeFrom="paragraph">
                <wp:posOffset>92710</wp:posOffset>
              </wp:positionV>
              <wp:extent cx="929640" cy="34099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929640" cy="3409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BF4297">
                          <w:pPr>
                            <w:pStyle w:val="14"/>
                            <w:ind w:left="0" w:leftChars="0" w:firstLine="0" w:firstLineChars="0"/>
                            <w:jc w:val="center"/>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4"/>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I</w:t>
                          </w:r>
                          <w:r>
                            <w:rPr>
                              <w:rFonts w:hint="eastAsia" w:ascii="宋体" w:hAnsi="宋体" w:eastAsia="宋体" w:cs="宋体"/>
                              <w:sz w:val="28"/>
                              <w:szCs w:val="28"/>
                            </w:rPr>
                            <w:fldChar w:fldCharType="end"/>
                          </w:r>
                          <w:r>
                            <w:rPr>
                              <w:rFonts w:hint="eastAsia" w:ascii="宋体" w:hAnsi="宋体" w:eastAsia="宋体" w:cs="宋体"/>
                              <w:sz w:val="24"/>
                              <w:szCs w:val="28"/>
                            </w:rPr>
                            <w:t>　</w:t>
                          </w:r>
                          <w:r>
                            <w:rPr>
                              <w:rFonts w:hint="eastAsia" w:ascii="宋体" w:hAnsi="宋体" w:eastAsia="宋体" w:cs="宋体"/>
                              <w:sz w:val="28"/>
                              <w:szCs w:val="28"/>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79.25pt;margin-top:7.3pt;height:26.85pt;width:73.2pt;mso-position-horizontal-relative:margin;z-index:251660288;mso-width-relative:page;mso-height-relative:page;" filled="f" stroked="f" coordsize="21600,21600" o:gfxdata="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irPZ92AAAAAkBAAAPAAAAAAAAAAEAIAAAACIAAABkcnMvZG93&#10;bnJldi54bWxQSwECFAAUAAAACACHTuJAj05HAjkCAABjBAAADgAAAAAAAAABACAAAAAnAQAAZHJz&#10;L2Uyb0RvYy54bWxQSwUGAAAAAAYABgBZAQAA0gUAAAAA&#10;">
              <v:fill on="f" focussize="0,0"/>
              <v:stroke on="f" weight="0.5pt"/>
              <v:imagedata o:title=""/>
              <o:lock v:ext="edit" aspectratio="f"/>
              <v:textbox inset="0mm,0mm,0mm,0mm">
                <w:txbxContent>
                  <w:p w14:paraId="1CBF4297">
                    <w:pPr>
                      <w:pStyle w:val="14"/>
                      <w:ind w:left="0" w:leftChars="0" w:firstLine="0" w:firstLineChars="0"/>
                      <w:jc w:val="center"/>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4"/>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I</w:t>
                    </w:r>
                    <w:r>
                      <w:rPr>
                        <w:rFonts w:hint="eastAsia" w:ascii="宋体" w:hAnsi="宋体" w:eastAsia="宋体" w:cs="宋体"/>
                        <w:sz w:val="28"/>
                        <w:szCs w:val="28"/>
                      </w:rPr>
                      <w:fldChar w:fldCharType="end"/>
                    </w:r>
                    <w:r>
                      <w:rPr>
                        <w:rFonts w:hint="eastAsia" w:ascii="宋体" w:hAnsi="宋体" w:eastAsia="宋体" w:cs="宋体"/>
                        <w:sz w:val="24"/>
                        <w:szCs w:val="28"/>
                      </w:rPr>
                      <w:t>　</w:t>
                    </w:r>
                    <w:r>
                      <w:rPr>
                        <w:rFonts w:hint="eastAsia" w:ascii="宋体" w:hAnsi="宋体" w:eastAsia="宋体" w:cs="宋体"/>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2AF9A">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3772C">
                          <w:pPr>
                            <w:pStyle w:val="1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II</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A83772C">
                    <w:pPr>
                      <w:pStyle w:val="1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II</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4">
    <w:p>
      <w:pPr>
        <w:spacing w:line="240" w:lineRule="auto"/>
        <w:ind w:firstLine="640"/>
      </w:pPr>
      <w:r>
        <w:separator/>
      </w:r>
    </w:p>
  </w:footnote>
  <w:footnote w:type="continuationSeparator" w:id="35">
    <w:p>
      <w:pPr>
        <w:spacing w:line="240" w:lineRule="auto"/>
        <w:ind w:firstLine="640"/>
      </w:pPr>
      <w:r>
        <w:continuationSeparator/>
      </w:r>
    </w:p>
  </w:footnote>
  <w:footnote w:id="0">
    <w:p w14:paraId="42F9B46B">
      <w:pPr>
        <w:pStyle w:val="18"/>
        <w:bidi w:val="0"/>
        <w:rPr>
          <w:rFonts w:hint="eastAsia"/>
          <w:lang w:eastAsia="zh-CN"/>
        </w:rPr>
      </w:pPr>
      <w:r>
        <w:rPr>
          <w:rFonts w:hint="eastAsia"/>
        </w:rPr>
        <w:footnoteRef/>
      </w:r>
      <w:r>
        <w:rPr>
          <w:rFonts w:hint="eastAsia"/>
          <w:lang w:val="en-US" w:eastAsia="zh-CN"/>
        </w:rPr>
        <w:t xml:space="preserve"> </w:t>
      </w:r>
      <w:r>
        <w:rPr>
          <w:rFonts w:hint="eastAsia"/>
        </w:rPr>
        <w:t>规模化、特色化、品牌化</w:t>
      </w:r>
      <w:r>
        <w:rPr>
          <w:rFonts w:hint="eastAsia"/>
          <w:lang w:eastAsia="zh-CN"/>
        </w:rPr>
        <w:t>。</w:t>
      </w:r>
    </w:p>
  </w:footnote>
  <w:footnote w:id="1">
    <w:p w14:paraId="671BD604">
      <w:pPr>
        <w:pStyle w:val="18"/>
        <w:snapToGrid w:val="0"/>
        <w:rPr>
          <w:rFonts w:hint="eastAsia" w:eastAsia="宋体"/>
          <w:lang w:eastAsia="zh-CN"/>
        </w:rPr>
      </w:pPr>
      <w:r>
        <w:rPr>
          <w:rStyle w:val="29"/>
        </w:rPr>
        <w:footnoteRef/>
      </w:r>
      <w:r>
        <w:t xml:space="preserve"> </w:t>
      </w:r>
      <w:r>
        <w:rPr>
          <w:rFonts w:hint="eastAsia"/>
        </w:rPr>
        <w:t>“五强”</w:t>
      </w:r>
      <w:r>
        <w:rPr>
          <w:rFonts w:hint="eastAsia"/>
          <w:lang w:val="en-US" w:eastAsia="zh-CN"/>
        </w:rPr>
        <w:t>指</w:t>
      </w:r>
      <w:r>
        <w:rPr>
          <w:rFonts w:hint="eastAsia"/>
        </w:rPr>
        <w:t>综合产能强、科技装备强、产业主体强、功能效益强、竞争能力强</w:t>
      </w:r>
      <w:r>
        <w:rPr>
          <w:rFonts w:hint="eastAsia"/>
          <w:lang w:eastAsia="zh-CN"/>
        </w:rPr>
        <w:t>。</w:t>
      </w:r>
    </w:p>
  </w:footnote>
  <w:footnote w:id="2">
    <w:p w14:paraId="57BC212F">
      <w:pPr>
        <w:pStyle w:val="18"/>
        <w:keepNext w:val="0"/>
        <w:keepLines w:val="0"/>
        <w:pageBreakBefore w:val="0"/>
        <w:widowControl/>
        <w:kinsoku/>
        <w:wordWrap/>
        <w:overflowPunct/>
        <w:topLinePunct w:val="0"/>
        <w:bidi w:val="0"/>
        <w:adjustRightInd/>
        <w:snapToGrid w:val="0"/>
        <w:spacing w:line="520" w:lineRule="exact"/>
        <w:textAlignment w:val="auto"/>
        <w:rPr>
          <w:rFonts w:hint="eastAsia" w:ascii="宋体" w:hAnsi="宋体" w:eastAsia="宋体" w:cs="宋体"/>
          <w:color w:val="000000"/>
          <w:spacing w:val="0"/>
          <w:sz w:val="28"/>
          <w:szCs w:val="28"/>
          <w:lang w:eastAsia="zh-CN"/>
        </w:rPr>
      </w:pPr>
      <w:r>
        <w:rPr>
          <w:rStyle w:val="29"/>
          <w:rFonts w:hint="eastAsia" w:ascii="宋体" w:hAnsi="宋体" w:eastAsia="宋体" w:cs="宋体"/>
          <w:szCs w:val="28"/>
          <w:vertAlign w:val="baseline"/>
          <w:lang w:eastAsia="zh-CN"/>
        </w:rPr>
        <w:footnoteRef/>
      </w:r>
      <w:r>
        <w:rPr>
          <w:rFonts w:hint="eastAsia" w:ascii="宋体" w:hAnsi="宋体" w:eastAsia="宋体" w:cs="宋体"/>
          <w:color w:val="000000"/>
          <w:spacing w:val="0"/>
          <w:sz w:val="28"/>
          <w:szCs w:val="28"/>
          <w:lang w:eastAsia="zh-CN"/>
        </w:rPr>
        <w:t xml:space="preserve"> 一块田(高标准农田)、四类地(设施蔬菜地、盐碱地、中低产地、新增耕地)；</w:t>
      </w:r>
    </w:p>
  </w:footnote>
  <w:footnote w:id="3">
    <w:p w14:paraId="4E72A954">
      <w:pPr>
        <w:pStyle w:val="18"/>
        <w:keepNext w:val="0"/>
        <w:keepLines w:val="0"/>
        <w:pageBreakBefore w:val="0"/>
        <w:widowControl/>
        <w:kinsoku/>
        <w:wordWrap/>
        <w:overflowPunct/>
        <w:topLinePunct w:val="0"/>
        <w:bidi w:val="0"/>
        <w:adjustRightInd/>
        <w:snapToGrid w:val="0"/>
        <w:spacing w:line="520" w:lineRule="exact"/>
        <w:textAlignment w:val="auto"/>
        <w:rPr>
          <w:rFonts w:hint="eastAsia" w:ascii="宋体" w:hAnsi="宋体" w:eastAsia="宋体" w:cs="宋体"/>
          <w:color w:val="000000"/>
          <w:spacing w:val="0"/>
          <w:sz w:val="28"/>
          <w:szCs w:val="28"/>
          <w:lang w:eastAsia="zh-CN"/>
        </w:rPr>
      </w:pPr>
      <w:r>
        <w:rPr>
          <w:rStyle w:val="29"/>
          <w:rFonts w:hint="eastAsia" w:ascii="宋体" w:hAnsi="宋体" w:eastAsia="宋体" w:cs="宋体"/>
          <w:szCs w:val="28"/>
          <w:vertAlign w:val="baseline"/>
          <w:lang w:eastAsia="zh-CN"/>
        </w:rPr>
        <w:footnoteRef/>
      </w:r>
      <w:r>
        <w:rPr>
          <w:rFonts w:hint="eastAsia" w:ascii="宋体" w:hAnsi="宋体" w:eastAsia="宋体" w:cs="宋体"/>
          <w:color w:val="000000"/>
          <w:spacing w:val="0"/>
          <w:sz w:val="28"/>
          <w:szCs w:val="28"/>
          <w:lang w:eastAsia="zh-CN"/>
        </w:rPr>
        <w:t xml:space="preserve"> 改(改良土壤)、培(培肥地力)、保(保水保肥)、建(基础设施)、控(控污修复)。</w:t>
      </w:r>
    </w:p>
  </w:footnote>
  <w:footnote w:id="4">
    <w:p w14:paraId="10F4B278">
      <w:pPr>
        <w:pStyle w:val="18"/>
        <w:keepNext w:val="0"/>
        <w:keepLines w:val="0"/>
        <w:pageBreakBefore w:val="0"/>
        <w:widowControl/>
        <w:kinsoku/>
        <w:wordWrap/>
        <w:overflowPunct/>
        <w:topLinePunct w:val="0"/>
        <w:bidi w:val="0"/>
        <w:adjustRightInd/>
        <w:snapToGrid w:val="0"/>
        <w:spacing w:line="520" w:lineRule="exact"/>
        <w:textAlignment w:val="auto"/>
        <w:rPr>
          <w:rStyle w:val="29"/>
          <w:rFonts w:hint="eastAsia" w:ascii="宋体" w:hAnsi="宋体" w:eastAsia="宋体" w:cs="宋体"/>
          <w:sz w:val="28"/>
          <w:szCs w:val="28"/>
          <w:vertAlign w:val="baseline"/>
          <w:lang w:eastAsia="zh-CN"/>
        </w:rPr>
      </w:pPr>
      <w:r>
        <w:rPr>
          <w:rStyle w:val="29"/>
          <w:rFonts w:hint="eastAsia" w:ascii="宋体" w:hAnsi="宋体" w:eastAsia="宋体" w:cs="宋体"/>
          <w:szCs w:val="28"/>
          <w:vertAlign w:val="baseline"/>
          <w:lang w:eastAsia="zh-CN"/>
        </w:rPr>
        <w:footnoteRef/>
      </w:r>
      <w:r>
        <w:rPr>
          <w:rStyle w:val="29"/>
          <w:rFonts w:hint="eastAsia" w:ascii="宋体" w:hAnsi="宋体" w:eastAsia="宋体" w:cs="宋体"/>
          <w:sz w:val="28"/>
          <w:szCs w:val="28"/>
          <w:vertAlign w:val="baseline"/>
        </w:rPr>
        <w:t xml:space="preserve"> </w:t>
      </w:r>
      <w:r>
        <w:rPr>
          <w:rFonts w:hint="eastAsia" w:ascii="宋体" w:hAnsi="宋体" w:eastAsia="宋体" w:cs="宋体"/>
          <w:color w:val="000000"/>
          <w:spacing w:val="0"/>
          <w:sz w:val="28"/>
          <w:szCs w:val="28"/>
          <w:lang w:eastAsia="zh-CN"/>
        </w:rPr>
        <w:t>一平（田块平整）、两通（通水、通路）、三提升（提升地力、产量、效益）</w:t>
      </w:r>
      <w:r>
        <w:rPr>
          <w:rFonts w:hint="eastAsia" w:cs="宋体"/>
          <w:sz w:val="28"/>
          <w:szCs w:val="28"/>
          <w:vertAlign w:val="baseline"/>
          <w:lang w:eastAsia="zh-CN"/>
        </w:rPr>
        <w:t>；</w:t>
      </w:r>
    </w:p>
  </w:footnote>
  <w:footnote w:id="5">
    <w:p w14:paraId="27A66370">
      <w:pPr>
        <w:pStyle w:val="18"/>
        <w:keepNext w:val="0"/>
        <w:keepLines w:val="0"/>
        <w:pageBreakBefore w:val="0"/>
        <w:widowControl/>
        <w:kinsoku/>
        <w:wordWrap/>
        <w:overflowPunct/>
        <w:topLinePunct w:val="0"/>
        <w:bidi w:val="0"/>
        <w:adjustRightInd/>
        <w:snapToGrid w:val="0"/>
        <w:spacing w:line="520" w:lineRule="exact"/>
        <w:textAlignment w:val="auto"/>
        <w:rPr>
          <w:rFonts w:hint="eastAsia" w:ascii="宋体" w:hAnsi="宋体" w:eastAsia="宋体" w:cs="宋体"/>
          <w:color w:val="000000"/>
          <w:spacing w:val="0"/>
          <w:sz w:val="28"/>
          <w:szCs w:val="28"/>
          <w:lang w:eastAsia="zh-CN"/>
        </w:rPr>
      </w:pPr>
      <w:r>
        <w:rPr>
          <w:rStyle w:val="29"/>
          <w:rFonts w:hint="eastAsia" w:ascii="宋体" w:hAnsi="宋体" w:eastAsia="宋体" w:cs="宋体"/>
          <w:szCs w:val="28"/>
          <w:vertAlign w:val="baseline"/>
          <w:lang w:eastAsia="zh-CN"/>
        </w:rPr>
        <w:footnoteRef/>
      </w:r>
      <w:r>
        <w:rPr>
          <w:rStyle w:val="29"/>
          <w:rFonts w:hint="eastAsia" w:ascii="宋体" w:hAnsi="宋体" w:eastAsia="宋体" w:cs="宋体"/>
          <w:sz w:val="28"/>
          <w:szCs w:val="28"/>
          <w:vertAlign w:val="baseline"/>
        </w:rPr>
        <w:t xml:space="preserve"> </w:t>
      </w:r>
      <w:r>
        <w:rPr>
          <w:rFonts w:hint="eastAsia" w:cs="宋体"/>
          <w:sz w:val="28"/>
          <w:szCs w:val="28"/>
          <w:vertAlign w:val="baseline"/>
          <w:lang w:eastAsia="zh-CN"/>
        </w:rPr>
        <w:t>核心</w:t>
      </w:r>
      <w:r>
        <w:rPr>
          <w:rFonts w:hint="eastAsia" w:ascii="宋体" w:hAnsi="宋体" w:eastAsia="宋体" w:cs="宋体"/>
          <w:color w:val="000000"/>
          <w:spacing w:val="0"/>
          <w:sz w:val="28"/>
          <w:szCs w:val="28"/>
          <w:lang w:eastAsia="zh-CN"/>
        </w:rPr>
        <w:t>田块连片化、项目区域规模化、建设内容标准化和建后利用高效化。</w:t>
      </w:r>
    </w:p>
  </w:footnote>
  <w:footnote w:id="6">
    <w:p w14:paraId="12CB49C1">
      <w:pPr>
        <w:pStyle w:val="18"/>
        <w:snapToGrid w:val="0"/>
        <w:rPr>
          <w:rFonts w:hint="default" w:ascii="Times New Roman" w:hAnsi="Times New Roman" w:eastAsia="宋体" w:cs="Times New Roman"/>
          <w:color w:val="auto"/>
          <w:sz w:val="28"/>
          <w:szCs w:val="28"/>
        </w:rPr>
      </w:pPr>
      <w:r>
        <w:rPr>
          <w:rStyle w:val="29"/>
          <w:rFonts w:hint="default" w:ascii="Times New Roman" w:hAnsi="Times New Roman" w:eastAsia="宋体" w:cs="Times New Roman"/>
          <w:color w:val="auto"/>
          <w:sz w:val="28"/>
          <w:szCs w:val="28"/>
          <w:vertAlign w:val="baseline"/>
          <w:lang w:eastAsia="zh-CN"/>
        </w:rPr>
        <w:footnoteRef/>
      </w:r>
      <w:r>
        <w:rPr>
          <w:rFonts w:hint="default" w:ascii="Times New Roman" w:hAnsi="Times New Roman" w:eastAsia="宋体" w:cs="Times New Roman"/>
          <w:color w:val="auto"/>
          <w:sz w:val="28"/>
          <w:szCs w:val="28"/>
        </w:rPr>
        <w:t xml:space="preserve"> </w:t>
      </w:r>
      <w:r>
        <w:rPr>
          <w:rFonts w:hint="default" w:ascii="Times New Roman" w:hAnsi="Times New Roman" w:eastAsia="宋体" w:cs="Times New Roman"/>
          <w:color w:val="auto"/>
          <w:kern w:val="21"/>
          <w:sz w:val="28"/>
          <w:szCs w:val="28"/>
          <w:lang w:val="en-US" w:eastAsia="zh-CN"/>
        </w:rPr>
        <w:t>“一头羊”“一篮菜”“一颗芋”“一袋米”“一只鸡”“一盘鲜”</w:t>
      </w:r>
      <w:r>
        <w:rPr>
          <w:rFonts w:hint="eastAsia" w:ascii="Times New Roman" w:hAnsi="Times New Roman" w:cs="Times New Roman"/>
          <w:color w:val="auto"/>
          <w:kern w:val="21"/>
          <w:sz w:val="28"/>
          <w:szCs w:val="28"/>
          <w:lang w:val="en-US" w:eastAsia="zh-CN"/>
        </w:rPr>
        <w:t>。</w:t>
      </w:r>
    </w:p>
  </w:footnote>
  <w:footnote w:id="7">
    <w:p w14:paraId="6B1F021F">
      <w:pPr>
        <w:bidi w:val="0"/>
        <w:snapToGrid w:val="0"/>
        <w:spacing w:line="560" w:lineRule="exact"/>
        <w:ind w:firstLine="560" w:firstLineChars="200"/>
        <w:jc w:val="both"/>
        <w:rPr>
          <w:rFonts w:hint="default" w:ascii="Times New Roman" w:hAnsi="Times New Roman" w:eastAsia="宋体" w:cs="Times New Roman"/>
          <w:sz w:val="28"/>
          <w:szCs w:val="28"/>
          <w:lang w:val="en-US" w:eastAsia="zh-CN" w:bidi="ar-SA"/>
        </w:rPr>
      </w:pPr>
      <w:r>
        <w:rPr>
          <w:rFonts w:hint="default" w:ascii="Times New Roman" w:hAnsi="Times New Roman" w:eastAsia="宋体" w:cs="Times New Roman"/>
          <w:sz w:val="28"/>
          <w:szCs w:val="28"/>
          <w:vertAlign w:val="baseline"/>
          <w:lang w:val="en-US" w:eastAsia="zh-CN" w:bidi="ar-SA"/>
        </w:rPr>
        <w:footnoteRef/>
      </w:r>
      <w:r>
        <w:rPr>
          <w:rFonts w:hint="default" w:ascii="Times New Roman" w:hAnsi="Times New Roman" w:eastAsia="宋体" w:cs="Times New Roman"/>
          <w:sz w:val="28"/>
          <w:szCs w:val="28"/>
          <w:lang w:val="en-US" w:eastAsia="zh-CN" w:bidi="ar-SA"/>
        </w:rPr>
        <w:t xml:space="preserve"> 多频道网络（Multi-Channel Network，MCN）</w:t>
      </w:r>
      <w:r>
        <w:rPr>
          <w:rFonts w:hint="eastAsia" w:ascii="Times New Roman" w:hAnsi="Times New Roman" w:eastAsia="宋体" w:cs="Times New Roman"/>
          <w:sz w:val="28"/>
          <w:szCs w:val="28"/>
          <w:lang w:val="en-US" w:eastAsia="zh-CN" w:bidi="ar-SA"/>
        </w:rPr>
        <w:t>。</w:t>
      </w:r>
    </w:p>
  </w:footnote>
  <w:footnote w:id="8">
    <w:p w14:paraId="1ADAA22B">
      <w:pPr>
        <w:bidi w:val="0"/>
        <w:snapToGrid w:val="0"/>
        <w:spacing w:line="560" w:lineRule="exact"/>
        <w:ind w:firstLine="560" w:firstLineChars="200"/>
        <w:jc w:val="both"/>
        <w:rPr>
          <w:rFonts w:hint="eastAsia" w:ascii="Times New Roman" w:hAnsi="Times New Roman" w:eastAsia="宋体" w:cs="Times New Roman"/>
          <w:sz w:val="28"/>
          <w:szCs w:val="28"/>
          <w:vertAlign w:val="baseline"/>
          <w:lang w:val="en-US" w:eastAsia="zh-CN" w:bidi="ar-SA"/>
        </w:rPr>
      </w:pPr>
      <w:r>
        <w:rPr>
          <w:rFonts w:hint="eastAsia" w:ascii="Times New Roman" w:hAnsi="Times New Roman" w:eastAsia="宋体" w:cs="Times New Roman"/>
          <w:sz w:val="28"/>
          <w:szCs w:val="28"/>
          <w:vertAlign w:val="baseline"/>
          <w:lang w:val="en-US" w:eastAsia="zh-CN" w:bidi="ar-SA"/>
        </w:rPr>
        <w:footnoteRef/>
      </w:r>
      <w:r>
        <w:rPr>
          <w:rFonts w:hint="eastAsia" w:ascii="Times New Roman" w:hAnsi="Times New Roman" w:eastAsia="宋体" w:cs="Times New Roman"/>
          <w:sz w:val="28"/>
          <w:szCs w:val="28"/>
          <w:vertAlign w:val="baseline"/>
          <w:lang w:val="en-US" w:eastAsia="zh-CN" w:bidi="ar-SA"/>
        </w:rPr>
        <w:t xml:space="preserve"> 良田、良种、良机、良法。</w:t>
      </w:r>
    </w:p>
  </w:footnote>
  <w:footnote w:id="9">
    <w:p w14:paraId="6610FA91">
      <w:pPr>
        <w:keepNext w:val="0"/>
        <w:keepLines w:val="0"/>
        <w:pageBreakBefore w:val="0"/>
        <w:widowControl/>
        <w:kinsoku/>
        <w:wordWrap/>
        <w:overflowPunct/>
        <w:topLinePunct w:val="0"/>
        <w:bidi w:val="0"/>
        <w:adjustRightInd/>
        <w:snapToGrid w:val="0"/>
        <w:spacing w:line="520" w:lineRule="exact"/>
        <w:ind w:firstLine="560" w:firstLineChars="200"/>
        <w:jc w:val="both"/>
        <w:textAlignment w:val="auto"/>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footnoteRef/>
      </w:r>
      <w:r>
        <w:rPr>
          <w:rFonts w:hint="eastAsia" w:ascii="宋体" w:hAnsi="宋体" w:eastAsia="宋体" w:cs="宋体"/>
          <w:sz w:val="28"/>
          <w:szCs w:val="28"/>
          <w:lang w:val="en-US" w:eastAsia="zh-CN" w:bidi="ar-SA"/>
        </w:rPr>
        <w:t xml:space="preserve"> 1个区农业技术推广中心+3家区域性农技服务中心+4家区域性农事服务中心+11家区镇（街道）农业技术推广；</w:t>
      </w:r>
    </w:p>
  </w:footnote>
  <w:footnote w:id="10">
    <w:p w14:paraId="35B36C9C">
      <w:pPr>
        <w:pStyle w:val="18"/>
        <w:snapToGrid w:val="0"/>
        <w:rPr>
          <w:rFonts w:hint="eastAsia" w:eastAsia="宋体"/>
          <w:vertAlign w:val="baseline"/>
          <w:lang w:eastAsia="zh-CN"/>
        </w:rPr>
      </w:pPr>
      <w:r>
        <w:rPr>
          <w:rStyle w:val="29"/>
          <w:vertAlign w:val="baseline"/>
        </w:rPr>
        <w:footnoteRef/>
      </w:r>
      <w:r>
        <w:rPr>
          <w:vertAlign w:val="baseline"/>
        </w:rPr>
        <w:t xml:space="preserve"> </w:t>
      </w:r>
      <w:r>
        <w:rPr>
          <w:rFonts w:hint="eastAsia"/>
        </w:rPr>
        <w:t>新农人包括新农创、新农匠、新农服</w:t>
      </w:r>
      <w:r>
        <w:rPr>
          <w:rFonts w:hint="eastAsia"/>
          <w:lang w:val="en-US" w:eastAsia="zh-CN"/>
        </w:rPr>
        <w:t>和</w:t>
      </w:r>
      <w:r>
        <w:rPr>
          <w:rFonts w:hint="eastAsia"/>
        </w:rPr>
        <w:t>新农商四类农村人才</w:t>
      </w:r>
      <w:r>
        <w:rPr>
          <w:rFonts w:hint="eastAsia"/>
          <w:lang w:eastAsia="zh-CN"/>
        </w:rPr>
        <w:t>。</w:t>
      </w:r>
    </w:p>
  </w:footnote>
  <w:footnote w:id="11">
    <w:p w14:paraId="01AE5AC2">
      <w:pPr>
        <w:pStyle w:val="18"/>
        <w:keepNext w:val="0"/>
        <w:keepLines w:val="0"/>
        <w:pageBreakBefore w:val="0"/>
        <w:widowControl/>
        <w:kinsoku/>
        <w:wordWrap/>
        <w:overflowPunct/>
        <w:topLinePunct w:val="0"/>
        <w:bidi w:val="0"/>
        <w:adjustRightInd/>
        <w:snapToGrid w:val="0"/>
        <w:spacing w:line="520" w:lineRule="exact"/>
        <w:textAlignment w:val="auto"/>
        <w:rPr>
          <w:rFonts w:hint="eastAsia"/>
          <w:lang w:eastAsia="zh-CN"/>
        </w:rPr>
      </w:pPr>
      <w:r>
        <w:rPr>
          <w:rFonts w:hint="eastAsia"/>
        </w:rPr>
        <w:footnoteRef/>
      </w:r>
      <w:r>
        <w:rPr>
          <w:rFonts w:hint="eastAsia"/>
        </w:rPr>
        <w:t xml:space="preserve"> “四清一治一改”通常指清理农村积存垃圾、河塘沟渠、农业废弃物和无保护价值的残垣断壁，加强乡村公共空间治理，加快改变农民生活习惯</w:t>
      </w:r>
      <w:r>
        <w:rPr>
          <w:rFonts w:hint="eastAsia"/>
          <w:lang w:eastAsia="zh-CN"/>
        </w:rPr>
        <w:t>。</w:t>
      </w:r>
    </w:p>
  </w:footnote>
  <w:footnote w:id="12">
    <w:p w14:paraId="7234C8B7">
      <w:pPr>
        <w:pStyle w:val="18"/>
        <w:bidi w:val="0"/>
        <w:rPr>
          <w:rFonts w:hint="eastAsia"/>
          <w:lang w:eastAsia="zh-CN"/>
        </w:rPr>
      </w:pPr>
      <w:r>
        <w:rPr>
          <w:rStyle w:val="29"/>
          <w:rFonts w:hint="eastAsia" w:ascii="宋体" w:hAnsi="宋体" w:eastAsia="宋体" w:cs="宋体"/>
          <w:szCs w:val="28"/>
          <w:vertAlign w:val="baseline"/>
        </w:rPr>
        <w:footnoteRef/>
      </w:r>
      <w:r>
        <w:rPr>
          <w:rFonts w:hint="eastAsia"/>
        </w:rPr>
        <w:t xml:space="preserve"> 基本看不到污水横流‌，‌基本闻不到臭味‌，‌基本听不到村民怨言</w:t>
      </w:r>
      <w:r>
        <w:rPr>
          <w:rFonts w:hint="eastAsia"/>
          <w:lang w:eastAsia="zh-CN"/>
        </w:rPr>
        <w:t>。</w:t>
      </w:r>
    </w:p>
  </w:footnote>
  <w:footnote w:id="13">
    <w:p w14:paraId="6D628117">
      <w:pPr>
        <w:keepNext w:val="0"/>
        <w:keepLines w:val="0"/>
        <w:pageBreakBefore w:val="0"/>
        <w:widowControl/>
        <w:kinsoku/>
        <w:wordWrap/>
        <w:overflowPunct/>
        <w:topLinePunct w:val="0"/>
        <w:bidi w:val="0"/>
        <w:adjustRightInd/>
        <w:snapToGrid w:val="0"/>
        <w:spacing w:line="520" w:lineRule="exact"/>
        <w:ind w:firstLine="640" w:firstLineChars="200"/>
        <w:jc w:val="both"/>
        <w:textAlignment w:val="auto"/>
        <w:rPr>
          <w:rFonts w:hint="eastAsia" w:ascii="宋体" w:hAnsi="宋体" w:eastAsia="宋体" w:cs="宋体"/>
          <w:sz w:val="28"/>
          <w:szCs w:val="28"/>
          <w:lang w:val="en-US" w:eastAsia="zh-CN" w:bidi="ar-SA"/>
        </w:rPr>
      </w:pPr>
      <w:r>
        <w:rPr>
          <w:rFonts w:hint="eastAsia" w:ascii="宋体" w:hAnsi="宋体" w:eastAsia="宋体" w:cs="宋体"/>
          <w:sz w:val="32"/>
          <w:szCs w:val="28"/>
          <w:vertAlign w:val="baseline"/>
          <w:lang w:val="en-US" w:eastAsia="zh-CN" w:bidi="ar-SA"/>
        </w:rPr>
        <w:footnoteRef/>
      </w:r>
      <w:r>
        <w:rPr>
          <w:rFonts w:hint="eastAsia" w:ascii="宋体" w:hAnsi="宋体" w:eastAsia="宋体" w:cs="宋体"/>
          <w:sz w:val="28"/>
          <w:szCs w:val="28"/>
          <w:lang w:val="en-US" w:eastAsia="zh-CN" w:bidi="ar-SA"/>
        </w:rPr>
        <w:t xml:space="preserve"> “八礼”指“仪表之礼”、“餐饮之礼”、“言谈之礼”、“待人之礼”、“行走之礼”、“观赏之礼”、“游览之礼”、“仪式之礼”;“四仪”指入学仪式（7岁）、成长仪式（10岁）、青春仪式（14岁）、成人仪式（18岁）。</w:t>
      </w:r>
    </w:p>
  </w:footnote>
  <w:footnote w:id="14">
    <w:p w14:paraId="255E36D8">
      <w:pPr>
        <w:pStyle w:val="18"/>
        <w:bidi w:val="0"/>
        <w:rPr>
          <w:rFonts w:hint="eastAsia" w:eastAsia="宋体"/>
          <w:lang w:eastAsia="zh-CN"/>
        </w:rPr>
      </w:pPr>
      <w:r>
        <w:rPr>
          <w:rStyle w:val="29"/>
          <w:rFonts w:ascii="Times New Roman Regular" w:hAnsi="Times New Roman Regular" w:cs="Times New Roman Regular"/>
          <w:vertAlign w:val="baseline"/>
        </w:rPr>
        <w:footnoteRef/>
      </w:r>
      <w:r>
        <w:t xml:space="preserve"> 5大优势产业（</w:t>
      </w:r>
      <w:r>
        <w:rPr>
          <w:rFonts w:hint="eastAsia"/>
          <w:lang w:val="en-US" w:eastAsia="zh-CN"/>
        </w:rPr>
        <w:t>先进</w:t>
      </w:r>
      <w:r>
        <w:t>金属</w:t>
      </w:r>
      <w:r>
        <w:rPr>
          <w:rFonts w:hint="eastAsia"/>
          <w:lang w:val="en-US" w:eastAsia="zh-CN"/>
        </w:rPr>
        <w:t>新</w:t>
      </w:r>
      <w:r>
        <w:t>材料、高技术船舶</w:t>
      </w:r>
      <w:r>
        <w:rPr>
          <w:rFonts w:hint="eastAsia"/>
          <w:lang w:val="en-US" w:eastAsia="zh-CN"/>
        </w:rPr>
        <w:t>和</w:t>
      </w:r>
      <w:r>
        <w:rPr>
          <w:lang w:eastAsia="zh-CN"/>
        </w:rPr>
        <w:t>海洋工程装备</w:t>
      </w:r>
      <w:r>
        <w:t>、智能装备、生命健康、高端纺织），</w:t>
      </w:r>
      <w:r>
        <w:rPr>
          <w:rFonts w:hint="eastAsia"/>
          <w:lang w:val="en-US" w:eastAsia="zh-CN"/>
        </w:rPr>
        <w:t>两</w:t>
      </w:r>
      <w:r>
        <w:t>大成长型产业（新一代信息技术、新能源）和X（多）个产业</w:t>
      </w:r>
      <w:r>
        <w:rPr>
          <w:rFonts w:hint="eastAsia"/>
          <w:lang w:val="en-US" w:eastAsia="zh-CN"/>
        </w:rPr>
        <w:t>新赛道</w:t>
      </w:r>
      <w:r>
        <w:t>（生物</w:t>
      </w:r>
      <w:r>
        <w:rPr>
          <w:rFonts w:hint="eastAsia"/>
          <w:lang w:val="en-US" w:eastAsia="zh-CN"/>
        </w:rPr>
        <w:t>制造</w:t>
      </w:r>
      <w:r>
        <w:t>、人工智能</w:t>
      </w:r>
      <w:r>
        <w:rPr>
          <w:rFonts w:hint="eastAsia"/>
          <w:lang w:eastAsia="zh-CN"/>
        </w:rPr>
        <w:t>、</w:t>
      </w:r>
      <w:r>
        <w:rPr>
          <w:rFonts w:hint="eastAsia"/>
          <w:lang w:val="en-US" w:eastAsia="zh-CN"/>
        </w:rPr>
        <w:t>大飞机</w:t>
      </w:r>
      <w:r>
        <w:t>、低空经济等）</w:t>
      </w:r>
      <w:r>
        <w:rPr>
          <w:rFonts w:hint="eastAsia"/>
          <w:lang w:eastAsia="zh-CN"/>
        </w:rPr>
        <w:t>。</w:t>
      </w:r>
    </w:p>
  </w:footnote>
  <w:footnote w:id="15">
    <w:p w14:paraId="44A04AD4">
      <w:pPr>
        <w:pStyle w:val="18"/>
        <w:bidi w:val="0"/>
        <w:rPr>
          <w:rFonts w:hint="eastAsia"/>
          <w:lang w:eastAsia="zh-CN"/>
        </w:rPr>
      </w:pPr>
      <w:r>
        <w:rPr>
          <w:rStyle w:val="29"/>
          <w:rFonts w:hint="eastAsia" w:ascii="宋体" w:hAnsi="宋体" w:eastAsia="宋体" w:cs="宋体"/>
          <w:szCs w:val="28"/>
          <w:vertAlign w:val="baseline"/>
        </w:rPr>
        <w:footnoteRef/>
      </w:r>
      <w:r>
        <w:rPr>
          <w:rFonts w:hint="eastAsia"/>
        </w:rPr>
        <w:t xml:space="preserve"> 建好、管好、护好、运营好</w:t>
      </w:r>
      <w:r>
        <w:rPr>
          <w:rFonts w:hint="eastAsia"/>
          <w:lang w:eastAsia="zh-CN"/>
        </w:rPr>
        <w:t>；</w:t>
      </w:r>
    </w:p>
  </w:footnote>
  <w:footnote w:id="16">
    <w:p w14:paraId="06CB1ECF">
      <w:pPr>
        <w:pStyle w:val="18"/>
        <w:bidi w:val="0"/>
        <w:rPr>
          <w:rFonts w:hint="eastAsia"/>
          <w:lang w:eastAsia="zh-CN"/>
        </w:rPr>
      </w:pPr>
      <w:r>
        <w:rPr>
          <w:rStyle w:val="29"/>
          <w:rFonts w:hint="eastAsia" w:ascii="宋体" w:hAnsi="宋体" w:eastAsia="宋体" w:cs="宋体"/>
          <w:szCs w:val="28"/>
          <w:vertAlign w:val="baseline"/>
        </w:rPr>
        <w:footnoteRef/>
      </w:r>
      <w:r>
        <w:rPr>
          <w:rFonts w:hint="eastAsia"/>
        </w:rPr>
        <w:t xml:space="preserve"> 城市基础设施安全运行智慧监管系统平台</w:t>
      </w:r>
      <w:r>
        <w:rPr>
          <w:rFonts w:hint="eastAsia"/>
          <w:lang w:eastAsia="zh-C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63"/>
  <w:displayHorizontalDrawingGridEvery w:val="1"/>
  <w:displayVerticalDrawingGridEvery w:val="1"/>
  <w:noPunctuationKerning w:val="1"/>
  <w:characterSpacingControl w:val="compressPunctuation"/>
  <w:footnotePr>
    <w:footnote w:id="34"/>
    <w:footnote w:id="35"/>
  </w:footnotePr>
  <w:endnotePr>
    <w:endnote w:id="0"/>
    <w:endnote w:id="1"/>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FBECC8"/>
    <w:rsid w:val="00047FD9"/>
    <w:rsid w:val="00074F63"/>
    <w:rsid w:val="00093F8C"/>
    <w:rsid w:val="000B3746"/>
    <w:rsid w:val="0018427F"/>
    <w:rsid w:val="001A4BA5"/>
    <w:rsid w:val="002044CB"/>
    <w:rsid w:val="002B37CE"/>
    <w:rsid w:val="00390F95"/>
    <w:rsid w:val="005129A3"/>
    <w:rsid w:val="005911DA"/>
    <w:rsid w:val="005C3FE3"/>
    <w:rsid w:val="007C0C4A"/>
    <w:rsid w:val="00821D31"/>
    <w:rsid w:val="008A1591"/>
    <w:rsid w:val="00A02E1B"/>
    <w:rsid w:val="00A91A7D"/>
    <w:rsid w:val="00B73C20"/>
    <w:rsid w:val="00BF6F5B"/>
    <w:rsid w:val="00D47912"/>
    <w:rsid w:val="00D47D1D"/>
    <w:rsid w:val="00D7639E"/>
    <w:rsid w:val="00D81E55"/>
    <w:rsid w:val="00E749DF"/>
    <w:rsid w:val="00EC4040"/>
    <w:rsid w:val="00ED6BCB"/>
    <w:rsid w:val="010C3980"/>
    <w:rsid w:val="01170D13"/>
    <w:rsid w:val="012B6AE6"/>
    <w:rsid w:val="01797F8F"/>
    <w:rsid w:val="019C03EF"/>
    <w:rsid w:val="023F38FE"/>
    <w:rsid w:val="024110AB"/>
    <w:rsid w:val="024F1F6E"/>
    <w:rsid w:val="0256755B"/>
    <w:rsid w:val="02860F03"/>
    <w:rsid w:val="02E26B72"/>
    <w:rsid w:val="030671D3"/>
    <w:rsid w:val="03563CB7"/>
    <w:rsid w:val="03964C18"/>
    <w:rsid w:val="03AEC074"/>
    <w:rsid w:val="03BB2E02"/>
    <w:rsid w:val="03D25B79"/>
    <w:rsid w:val="03FBD3AD"/>
    <w:rsid w:val="03FE20D7"/>
    <w:rsid w:val="04B1068B"/>
    <w:rsid w:val="04E17148"/>
    <w:rsid w:val="04F82B4C"/>
    <w:rsid w:val="04FF653B"/>
    <w:rsid w:val="05BB2DC4"/>
    <w:rsid w:val="05D517E6"/>
    <w:rsid w:val="05F519C4"/>
    <w:rsid w:val="05FB50A7"/>
    <w:rsid w:val="065B5D69"/>
    <w:rsid w:val="06930D7E"/>
    <w:rsid w:val="06AB431A"/>
    <w:rsid w:val="06C373FD"/>
    <w:rsid w:val="06DD6F5C"/>
    <w:rsid w:val="072872F3"/>
    <w:rsid w:val="0731665F"/>
    <w:rsid w:val="073175F0"/>
    <w:rsid w:val="07322345"/>
    <w:rsid w:val="073C7668"/>
    <w:rsid w:val="077DFBC4"/>
    <w:rsid w:val="07A80E24"/>
    <w:rsid w:val="07FBC466"/>
    <w:rsid w:val="07FF3C13"/>
    <w:rsid w:val="08510EF1"/>
    <w:rsid w:val="087D35E0"/>
    <w:rsid w:val="08AEC5E4"/>
    <w:rsid w:val="08AF37D7"/>
    <w:rsid w:val="08DA2C6E"/>
    <w:rsid w:val="090D306A"/>
    <w:rsid w:val="092D40B8"/>
    <w:rsid w:val="092E2FE0"/>
    <w:rsid w:val="0945056A"/>
    <w:rsid w:val="096B4234"/>
    <w:rsid w:val="09866870"/>
    <w:rsid w:val="099472E7"/>
    <w:rsid w:val="099E49AD"/>
    <w:rsid w:val="09A6701A"/>
    <w:rsid w:val="09E149FA"/>
    <w:rsid w:val="0AD622E2"/>
    <w:rsid w:val="0AF83422"/>
    <w:rsid w:val="0B151641"/>
    <w:rsid w:val="0B3FA645"/>
    <w:rsid w:val="0B5F5032"/>
    <w:rsid w:val="0B777220"/>
    <w:rsid w:val="0B970415"/>
    <w:rsid w:val="0BB57A31"/>
    <w:rsid w:val="0BD96237"/>
    <w:rsid w:val="0BFFC026"/>
    <w:rsid w:val="0C2B79B9"/>
    <w:rsid w:val="0C453C52"/>
    <w:rsid w:val="0C5965C6"/>
    <w:rsid w:val="0C9D2B6B"/>
    <w:rsid w:val="0CAF61E6"/>
    <w:rsid w:val="0CCF0636"/>
    <w:rsid w:val="0CE67D0E"/>
    <w:rsid w:val="0CEE31B2"/>
    <w:rsid w:val="0CFD58FC"/>
    <w:rsid w:val="0D272220"/>
    <w:rsid w:val="0D39E64E"/>
    <w:rsid w:val="0D75742F"/>
    <w:rsid w:val="0D7C4F50"/>
    <w:rsid w:val="0D7DDB43"/>
    <w:rsid w:val="0D977740"/>
    <w:rsid w:val="0D9C2C0E"/>
    <w:rsid w:val="0DBE2695"/>
    <w:rsid w:val="0DD31194"/>
    <w:rsid w:val="0DF60962"/>
    <w:rsid w:val="0E01E27F"/>
    <w:rsid w:val="0E0B07B8"/>
    <w:rsid w:val="0E356BBF"/>
    <w:rsid w:val="0E39220B"/>
    <w:rsid w:val="0E680D42"/>
    <w:rsid w:val="0E7FD0F7"/>
    <w:rsid w:val="0EB7A626"/>
    <w:rsid w:val="0EF5379F"/>
    <w:rsid w:val="0F3D50A3"/>
    <w:rsid w:val="0F3F73F8"/>
    <w:rsid w:val="0F9E8EF7"/>
    <w:rsid w:val="0F9FB290"/>
    <w:rsid w:val="0FB3423F"/>
    <w:rsid w:val="0FBAAA89"/>
    <w:rsid w:val="0FBB4ABE"/>
    <w:rsid w:val="0FD7E195"/>
    <w:rsid w:val="0FDF4464"/>
    <w:rsid w:val="0FE2F7DA"/>
    <w:rsid w:val="0FE3F7B3"/>
    <w:rsid w:val="0FF336CA"/>
    <w:rsid w:val="0FF74E3B"/>
    <w:rsid w:val="0FFBBF15"/>
    <w:rsid w:val="0FFD4B37"/>
    <w:rsid w:val="0FFE1DA8"/>
    <w:rsid w:val="0FFE448F"/>
    <w:rsid w:val="0FFF5831"/>
    <w:rsid w:val="10013AC5"/>
    <w:rsid w:val="10887D92"/>
    <w:rsid w:val="109C0EA0"/>
    <w:rsid w:val="10CA6D0F"/>
    <w:rsid w:val="10E90CB1"/>
    <w:rsid w:val="10F82991"/>
    <w:rsid w:val="11427629"/>
    <w:rsid w:val="11950A54"/>
    <w:rsid w:val="11A260A9"/>
    <w:rsid w:val="11D76814"/>
    <w:rsid w:val="11F5DD65"/>
    <w:rsid w:val="12062D4C"/>
    <w:rsid w:val="127A7296"/>
    <w:rsid w:val="132536A6"/>
    <w:rsid w:val="134FFD42"/>
    <w:rsid w:val="13541895"/>
    <w:rsid w:val="135B7D4C"/>
    <w:rsid w:val="139E7E7E"/>
    <w:rsid w:val="13BEC162"/>
    <w:rsid w:val="13DD8339"/>
    <w:rsid w:val="13F82B68"/>
    <w:rsid w:val="13FF2C34"/>
    <w:rsid w:val="140C03C2"/>
    <w:rsid w:val="140D05BE"/>
    <w:rsid w:val="141334FE"/>
    <w:rsid w:val="143D286B"/>
    <w:rsid w:val="1487776D"/>
    <w:rsid w:val="14A05BB4"/>
    <w:rsid w:val="14C111AC"/>
    <w:rsid w:val="14DD7E47"/>
    <w:rsid w:val="14FC21E4"/>
    <w:rsid w:val="154B059B"/>
    <w:rsid w:val="155C47EE"/>
    <w:rsid w:val="15653185"/>
    <w:rsid w:val="15704562"/>
    <w:rsid w:val="157AF5BC"/>
    <w:rsid w:val="157F7826"/>
    <w:rsid w:val="15971BB9"/>
    <w:rsid w:val="15A20FDE"/>
    <w:rsid w:val="15A24A9D"/>
    <w:rsid w:val="15D9E45B"/>
    <w:rsid w:val="15E6F5DB"/>
    <w:rsid w:val="15FF781E"/>
    <w:rsid w:val="16257519"/>
    <w:rsid w:val="163614BD"/>
    <w:rsid w:val="16465E0D"/>
    <w:rsid w:val="16A126EE"/>
    <w:rsid w:val="16B3CDF7"/>
    <w:rsid w:val="16F3669A"/>
    <w:rsid w:val="17122E34"/>
    <w:rsid w:val="175C5528"/>
    <w:rsid w:val="1765793B"/>
    <w:rsid w:val="176F43F7"/>
    <w:rsid w:val="17702F73"/>
    <w:rsid w:val="177C4BB8"/>
    <w:rsid w:val="177E6103"/>
    <w:rsid w:val="178A0F24"/>
    <w:rsid w:val="179D7287"/>
    <w:rsid w:val="17A523EF"/>
    <w:rsid w:val="17BCDC48"/>
    <w:rsid w:val="17C52CBF"/>
    <w:rsid w:val="17C66B43"/>
    <w:rsid w:val="17D07906"/>
    <w:rsid w:val="17D9155B"/>
    <w:rsid w:val="17D93E85"/>
    <w:rsid w:val="17DB68FE"/>
    <w:rsid w:val="17DD8335"/>
    <w:rsid w:val="17DE08C6"/>
    <w:rsid w:val="17DEF413"/>
    <w:rsid w:val="17EFC89E"/>
    <w:rsid w:val="17F7C661"/>
    <w:rsid w:val="181C1F65"/>
    <w:rsid w:val="18204A4E"/>
    <w:rsid w:val="183319DA"/>
    <w:rsid w:val="18635AD1"/>
    <w:rsid w:val="187205F4"/>
    <w:rsid w:val="18984D50"/>
    <w:rsid w:val="18E56B8C"/>
    <w:rsid w:val="18F5390C"/>
    <w:rsid w:val="18F56B0E"/>
    <w:rsid w:val="192E3282"/>
    <w:rsid w:val="197639DB"/>
    <w:rsid w:val="19DB7D6B"/>
    <w:rsid w:val="19DF24E4"/>
    <w:rsid w:val="19EF269D"/>
    <w:rsid w:val="1A4334AB"/>
    <w:rsid w:val="1ABAA1BF"/>
    <w:rsid w:val="1AC27A2C"/>
    <w:rsid w:val="1AE654C9"/>
    <w:rsid w:val="1AFD33CE"/>
    <w:rsid w:val="1AFF2BB3"/>
    <w:rsid w:val="1B033920"/>
    <w:rsid w:val="1B081392"/>
    <w:rsid w:val="1B12306B"/>
    <w:rsid w:val="1B544B28"/>
    <w:rsid w:val="1B6069D5"/>
    <w:rsid w:val="1B67DFD1"/>
    <w:rsid w:val="1B7EE61B"/>
    <w:rsid w:val="1BA6378F"/>
    <w:rsid w:val="1BBB6955"/>
    <w:rsid w:val="1BBF7CDB"/>
    <w:rsid w:val="1BBFEA8A"/>
    <w:rsid w:val="1BC31071"/>
    <w:rsid w:val="1BC72278"/>
    <w:rsid w:val="1BDC4A32"/>
    <w:rsid w:val="1BDDEA8A"/>
    <w:rsid w:val="1BDFDE01"/>
    <w:rsid w:val="1BEE21C1"/>
    <w:rsid w:val="1BEF3233"/>
    <w:rsid w:val="1BF3667F"/>
    <w:rsid w:val="1BFF1649"/>
    <w:rsid w:val="1BFF1C97"/>
    <w:rsid w:val="1BFF5C1F"/>
    <w:rsid w:val="1C224C26"/>
    <w:rsid w:val="1C2344FA"/>
    <w:rsid w:val="1C370E3A"/>
    <w:rsid w:val="1C502414"/>
    <w:rsid w:val="1C685144"/>
    <w:rsid w:val="1C704E68"/>
    <w:rsid w:val="1C9D1B21"/>
    <w:rsid w:val="1CBFE434"/>
    <w:rsid w:val="1CC405ED"/>
    <w:rsid w:val="1CC7CE8B"/>
    <w:rsid w:val="1CFF46F7"/>
    <w:rsid w:val="1D0C0295"/>
    <w:rsid w:val="1D1FCD05"/>
    <w:rsid w:val="1D6BDCEC"/>
    <w:rsid w:val="1D950197"/>
    <w:rsid w:val="1D9D7C95"/>
    <w:rsid w:val="1DB78F51"/>
    <w:rsid w:val="1DBBB376"/>
    <w:rsid w:val="1DBE77A7"/>
    <w:rsid w:val="1DC7C887"/>
    <w:rsid w:val="1DCD75C6"/>
    <w:rsid w:val="1DDE0D10"/>
    <w:rsid w:val="1DDFDB62"/>
    <w:rsid w:val="1DEEADB8"/>
    <w:rsid w:val="1DFBAFAB"/>
    <w:rsid w:val="1E1E1660"/>
    <w:rsid w:val="1E2B63FB"/>
    <w:rsid w:val="1E7B9431"/>
    <w:rsid w:val="1E7D67B3"/>
    <w:rsid w:val="1E7DAB29"/>
    <w:rsid w:val="1E7FCF00"/>
    <w:rsid w:val="1E7FDBF6"/>
    <w:rsid w:val="1EBFC61F"/>
    <w:rsid w:val="1EBFCF98"/>
    <w:rsid w:val="1EBFEE4D"/>
    <w:rsid w:val="1ECFD780"/>
    <w:rsid w:val="1ED8809A"/>
    <w:rsid w:val="1EDB4A9C"/>
    <w:rsid w:val="1EDF9477"/>
    <w:rsid w:val="1EED7711"/>
    <w:rsid w:val="1EEEF8EF"/>
    <w:rsid w:val="1EEF4141"/>
    <w:rsid w:val="1EFA4470"/>
    <w:rsid w:val="1EFEF8E7"/>
    <w:rsid w:val="1EFF0FE3"/>
    <w:rsid w:val="1EFF5229"/>
    <w:rsid w:val="1F06438B"/>
    <w:rsid w:val="1F0721DD"/>
    <w:rsid w:val="1F3FC6A7"/>
    <w:rsid w:val="1F6A48EE"/>
    <w:rsid w:val="1F6F021E"/>
    <w:rsid w:val="1F6F7730"/>
    <w:rsid w:val="1F76D149"/>
    <w:rsid w:val="1F7A9DB2"/>
    <w:rsid w:val="1F7B1CC6"/>
    <w:rsid w:val="1F7D6D3E"/>
    <w:rsid w:val="1F7EE2B2"/>
    <w:rsid w:val="1F7F3844"/>
    <w:rsid w:val="1F9C6B24"/>
    <w:rsid w:val="1FB4D478"/>
    <w:rsid w:val="1FB72055"/>
    <w:rsid w:val="1FBE4C66"/>
    <w:rsid w:val="1FBEB986"/>
    <w:rsid w:val="1FBFD063"/>
    <w:rsid w:val="1FCAA8FB"/>
    <w:rsid w:val="1FCFDCBD"/>
    <w:rsid w:val="1FD58922"/>
    <w:rsid w:val="1FD5AC7C"/>
    <w:rsid w:val="1FD7A949"/>
    <w:rsid w:val="1FD7C5F0"/>
    <w:rsid w:val="1FDC8983"/>
    <w:rsid w:val="1FDEBC1D"/>
    <w:rsid w:val="1FDF2E46"/>
    <w:rsid w:val="1FDF8E21"/>
    <w:rsid w:val="1FE741BD"/>
    <w:rsid w:val="1FE7B611"/>
    <w:rsid w:val="1FEDDFD1"/>
    <w:rsid w:val="1FEEB5EA"/>
    <w:rsid w:val="1FEEC506"/>
    <w:rsid w:val="1FF2CB5C"/>
    <w:rsid w:val="1FF815FB"/>
    <w:rsid w:val="1FF99E98"/>
    <w:rsid w:val="1FFB1C26"/>
    <w:rsid w:val="1FFB54CC"/>
    <w:rsid w:val="1FFDE6BB"/>
    <w:rsid w:val="1FFE731F"/>
    <w:rsid w:val="1FFF1511"/>
    <w:rsid w:val="1FFF59B7"/>
    <w:rsid w:val="1FFF867B"/>
    <w:rsid w:val="1FFFB305"/>
    <w:rsid w:val="202F7912"/>
    <w:rsid w:val="20A83220"/>
    <w:rsid w:val="219914E7"/>
    <w:rsid w:val="21B76FDB"/>
    <w:rsid w:val="21C9791F"/>
    <w:rsid w:val="21EF0569"/>
    <w:rsid w:val="21EF69B9"/>
    <w:rsid w:val="21EFFEFB"/>
    <w:rsid w:val="225219CE"/>
    <w:rsid w:val="226D7CBB"/>
    <w:rsid w:val="22CC7421"/>
    <w:rsid w:val="230A42F9"/>
    <w:rsid w:val="230D7C4B"/>
    <w:rsid w:val="232F636F"/>
    <w:rsid w:val="237F4FD8"/>
    <w:rsid w:val="23A979DB"/>
    <w:rsid w:val="23D776B4"/>
    <w:rsid w:val="245D3FC1"/>
    <w:rsid w:val="249C5B2F"/>
    <w:rsid w:val="24FE5689"/>
    <w:rsid w:val="255C546F"/>
    <w:rsid w:val="25951FC5"/>
    <w:rsid w:val="25A85360"/>
    <w:rsid w:val="25AC6019"/>
    <w:rsid w:val="25AE1769"/>
    <w:rsid w:val="25C3141C"/>
    <w:rsid w:val="262F5801"/>
    <w:rsid w:val="263D2FA6"/>
    <w:rsid w:val="266B45B7"/>
    <w:rsid w:val="267A6A29"/>
    <w:rsid w:val="26AE0822"/>
    <w:rsid w:val="26BBD2E2"/>
    <w:rsid w:val="26BE1479"/>
    <w:rsid w:val="26F1477F"/>
    <w:rsid w:val="27286E69"/>
    <w:rsid w:val="27572352"/>
    <w:rsid w:val="275B400D"/>
    <w:rsid w:val="27779C5F"/>
    <w:rsid w:val="27973781"/>
    <w:rsid w:val="27D24D1C"/>
    <w:rsid w:val="27D931FA"/>
    <w:rsid w:val="27EBEED2"/>
    <w:rsid w:val="27FC5A40"/>
    <w:rsid w:val="27FD9807"/>
    <w:rsid w:val="27FF0A40"/>
    <w:rsid w:val="28213FE4"/>
    <w:rsid w:val="284321AC"/>
    <w:rsid w:val="2855327C"/>
    <w:rsid w:val="28962934"/>
    <w:rsid w:val="289B558F"/>
    <w:rsid w:val="28ED42A8"/>
    <w:rsid w:val="295B1C88"/>
    <w:rsid w:val="295F5065"/>
    <w:rsid w:val="29A150BB"/>
    <w:rsid w:val="29A978FB"/>
    <w:rsid w:val="29B52D7F"/>
    <w:rsid w:val="29DD440B"/>
    <w:rsid w:val="29FFD847"/>
    <w:rsid w:val="2A214106"/>
    <w:rsid w:val="2A3C3357"/>
    <w:rsid w:val="2A44045E"/>
    <w:rsid w:val="2A46540F"/>
    <w:rsid w:val="2A774347"/>
    <w:rsid w:val="2A9F7442"/>
    <w:rsid w:val="2ABD7C6A"/>
    <w:rsid w:val="2AEB03D4"/>
    <w:rsid w:val="2AF9BBFA"/>
    <w:rsid w:val="2B376155"/>
    <w:rsid w:val="2B4BF3AE"/>
    <w:rsid w:val="2B4C2CEB"/>
    <w:rsid w:val="2B5861ED"/>
    <w:rsid w:val="2B5B5489"/>
    <w:rsid w:val="2B7E174D"/>
    <w:rsid w:val="2B7F24AA"/>
    <w:rsid w:val="2B7FF4D6"/>
    <w:rsid w:val="2B9FE270"/>
    <w:rsid w:val="2BB80C05"/>
    <w:rsid w:val="2BBF0EB3"/>
    <w:rsid w:val="2BE7284A"/>
    <w:rsid w:val="2BF994EC"/>
    <w:rsid w:val="2BFBB889"/>
    <w:rsid w:val="2BFC452B"/>
    <w:rsid w:val="2BFEB0D3"/>
    <w:rsid w:val="2BFF948E"/>
    <w:rsid w:val="2C378CD1"/>
    <w:rsid w:val="2C6A6C76"/>
    <w:rsid w:val="2C8B73F1"/>
    <w:rsid w:val="2CE752DB"/>
    <w:rsid w:val="2CEFC3AB"/>
    <w:rsid w:val="2CFF36A0"/>
    <w:rsid w:val="2D406490"/>
    <w:rsid w:val="2D481C66"/>
    <w:rsid w:val="2D4A5D8B"/>
    <w:rsid w:val="2D5CCB49"/>
    <w:rsid w:val="2D5ED210"/>
    <w:rsid w:val="2D7D0EDA"/>
    <w:rsid w:val="2D7D3586"/>
    <w:rsid w:val="2D9E6E43"/>
    <w:rsid w:val="2DCD7222"/>
    <w:rsid w:val="2DE55AB4"/>
    <w:rsid w:val="2DED6716"/>
    <w:rsid w:val="2DEE2301"/>
    <w:rsid w:val="2DF5695C"/>
    <w:rsid w:val="2DF61117"/>
    <w:rsid w:val="2DF6CB50"/>
    <w:rsid w:val="2DF70385"/>
    <w:rsid w:val="2DFB3B16"/>
    <w:rsid w:val="2DFF8218"/>
    <w:rsid w:val="2E4B2C6D"/>
    <w:rsid w:val="2E500694"/>
    <w:rsid w:val="2E715608"/>
    <w:rsid w:val="2E7D3F3E"/>
    <w:rsid w:val="2E9FC258"/>
    <w:rsid w:val="2EAEEAA1"/>
    <w:rsid w:val="2EB64432"/>
    <w:rsid w:val="2EC67496"/>
    <w:rsid w:val="2EDD8AF6"/>
    <w:rsid w:val="2EF723C8"/>
    <w:rsid w:val="2EF928FD"/>
    <w:rsid w:val="2EFA534A"/>
    <w:rsid w:val="2EFE6AF1"/>
    <w:rsid w:val="2EFEF383"/>
    <w:rsid w:val="2F2D1211"/>
    <w:rsid w:val="2F2FAF17"/>
    <w:rsid w:val="2F503401"/>
    <w:rsid w:val="2F67D2FA"/>
    <w:rsid w:val="2F6D5965"/>
    <w:rsid w:val="2F766243"/>
    <w:rsid w:val="2F79044C"/>
    <w:rsid w:val="2F7F24F4"/>
    <w:rsid w:val="2F7F2F2C"/>
    <w:rsid w:val="2F8F0C9D"/>
    <w:rsid w:val="2F9BF641"/>
    <w:rsid w:val="2F9FF6E0"/>
    <w:rsid w:val="2FB0A490"/>
    <w:rsid w:val="2FB3BB98"/>
    <w:rsid w:val="2FB6F2CF"/>
    <w:rsid w:val="2FBCA45A"/>
    <w:rsid w:val="2FBDC908"/>
    <w:rsid w:val="2FD3E5ED"/>
    <w:rsid w:val="2FDAC40C"/>
    <w:rsid w:val="2FDBDE9D"/>
    <w:rsid w:val="2FDF0010"/>
    <w:rsid w:val="2FDF4D36"/>
    <w:rsid w:val="2FDF69A2"/>
    <w:rsid w:val="2FEA28AB"/>
    <w:rsid w:val="2FED29FE"/>
    <w:rsid w:val="2FED3BAA"/>
    <w:rsid w:val="2FEEBEBF"/>
    <w:rsid w:val="2FEF7A15"/>
    <w:rsid w:val="2FF7CBA2"/>
    <w:rsid w:val="2FFD8DE2"/>
    <w:rsid w:val="2FFE07B1"/>
    <w:rsid w:val="2FFE386B"/>
    <w:rsid w:val="2FFE899F"/>
    <w:rsid w:val="2FFF4C9E"/>
    <w:rsid w:val="2FFF84CB"/>
    <w:rsid w:val="2FFFD227"/>
    <w:rsid w:val="30002F46"/>
    <w:rsid w:val="301E286A"/>
    <w:rsid w:val="309172CB"/>
    <w:rsid w:val="30BC0D4E"/>
    <w:rsid w:val="30FE3704"/>
    <w:rsid w:val="311741D6"/>
    <w:rsid w:val="3123357E"/>
    <w:rsid w:val="314671C3"/>
    <w:rsid w:val="31775D0D"/>
    <w:rsid w:val="3194017B"/>
    <w:rsid w:val="31A661DA"/>
    <w:rsid w:val="31CDC19C"/>
    <w:rsid w:val="31E6A809"/>
    <w:rsid w:val="31FE0861"/>
    <w:rsid w:val="32780620"/>
    <w:rsid w:val="32902492"/>
    <w:rsid w:val="329FAD4B"/>
    <w:rsid w:val="32AC532D"/>
    <w:rsid w:val="32B45169"/>
    <w:rsid w:val="32D9037A"/>
    <w:rsid w:val="32ED303A"/>
    <w:rsid w:val="32EEB905"/>
    <w:rsid w:val="32FF9CAD"/>
    <w:rsid w:val="3337C3FD"/>
    <w:rsid w:val="333FB0EF"/>
    <w:rsid w:val="33555AF3"/>
    <w:rsid w:val="335DF3E0"/>
    <w:rsid w:val="337416A9"/>
    <w:rsid w:val="3386214F"/>
    <w:rsid w:val="33B64454"/>
    <w:rsid w:val="33BCC766"/>
    <w:rsid w:val="33D26E1B"/>
    <w:rsid w:val="33EF7437"/>
    <w:rsid w:val="33F94824"/>
    <w:rsid w:val="33FB4AE1"/>
    <w:rsid w:val="33FD83FC"/>
    <w:rsid w:val="33FF3254"/>
    <w:rsid w:val="34182A51"/>
    <w:rsid w:val="34265405"/>
    <w:rsid w:val="347CA829"/>
    <w:rsid w:val="347EB532"/>
    <w:rsid w:val="34AB96B4"/>
    <w:rsid w:val="34EA39B0"/>
    <w:rsid w:val="34EFC11C"/>
    <w:rsid w:val="34F4701C"/>
    <w:rsid w:val="34FF6EF7"/>
    <w:rsid w:val="3517E747"/>
    <w:rsid w:val="355F5DB9"/>
    <w:rsid w:val="356FE6C3"/>
    <w:rsid w:val="35762FB9"/>
    <w:rsid w:val="35778F45"/>
    <w:rsid w:val="3588593F"/>
    <w:rsid w:val="35B244CD"/>
    <w:rsid w:val="35B293B8"/>
    <w:rsid w:val="35BE8488"/>
    <w:rsid w:val="35BEDF1E"/>
    <w:rsid w:val="35CB167C"/>
    <w:rsid w:val="35D5CEBE"/>
    <w:rsid w:val="35E6D0CC"/>
    <w:rsid w:val="35F6EF9C"/>
    <w:rsid w:val="35FCC4A4"/>
    <w:rsid w:val="35FE69D9"/>
    <w:rsid w:val="36123366"/>
    <w:rsid w:val="365372D3"/>
    <w:rsid w:val="3659E0A3"/>
    <w:rsid w:val="366D02DA"/>
    <w:rsid w:val="3671E19D"/>
    <w:rsid w:val="367A5BF1"/>
    <w:rsid w:val="369F5440"/>
    <w:rsid w:val="36BDCC81"/>
    <w:rsid w:val="36BE4487"/>
    <w:rsid w:val="36D5A303"/>
    <w:rsid w:val="36D7127E"/>
    <w:rsid w:val="36D88348"/>
    <w:rsid w:val="36DA1678"/>
    <w:rsid w:val="36DBC7EB"/>
    <w:rsid w:val="36EF0173"/>
    <w:rsid w:val="36EF5B97"/>
    <w:rsid w:val="36F86858"/>
    <w:rsid w:val="36FBF7FD"/>
    <w:rsid w:val="37060F75"/>
    <w:rsid w:val="371D3ED3"/>
    <w:rsid w:val="372C26FF"/>
    <w:rsid w:val="373C9FA1"/>
    <w:rsid w:val="373F64ED"/>
    <w:rsid w:val="374E3903"/>
    <w:rsid w:val="375AEB26"/>
    <w:rsid w:val="375DDFE0"/>
    <w:rsid w:val="375F826E"/>
    <w:rsid w:val="376DED09"/>
    <w:rsid w:val="376F77AD"/>
    <w:rsid w:val="376FD480"/>
    <w:rsid w:val="3777E04A"/>
    <w:rsid w:val="377E49C1"/>
    <w:rsid w:val="377EDACA"/>
    <w:rsid w:val="377FAADF"/>
    <w:rsid w:val="37991DE9"/>
    <w:rsid w:val="379C5969"/>
    <w:rsid w:val="379F4F25"/>
    <w:rsid w:val="379FD32D"/>
    <w:rsid w:val="37A7A04D"/>
    <w:rsid w:val="37B71F13"/>
    <w:rsid w:val="37B7C105"/>
    <w:rsid w:val="37BEEF56"/>
    <w:rsid w:val="37BF1A91"/>
    <w:rsid w:val="37BF816D"/>
    <w:rsid w:val="37DA43E4"/>
    <w:rsid w:val="37DC253E"/>
    <w:rsid w:val="37E7A2EF"/>
    <w:rsid w:val="37E81335"/>
    <w:rsid w:val="37E9C4E7"/>
    <w:rsid w:val="37EB739C"/>
    <w:rsid w:val="37EBA059"/>
    <w:rsid w:val="37EF0FB5"/>
    <w:rsid w:val="37EFC519"/>
    <w:rsid w:val="37F833AF"/>
    <w:rsid w:val="37FA4DC6"/>
    <w:rsid w:val="37FB0453"/>
    <w:rsid w:val="37FC50F9"/>
    <w:rsid w:val="37FE74BD"/>
    <w:rsid w:val="37FEBDFD"/>
    <w:rsid w:val="37FF3E06"/>
    <w:rsid w:val="37FFA863"/>
    <w:rsid w:val="3827C3F1"/>
    <w:rsid w:val="3845582E"/>
    <w:rsid w:val="387EDA90"/>
    <w:rsid w:val="38BA856B"/>
    <w:rsid w:val="38C91DA3"/>
    <w:rsid w:val="38DEEF89"/>
    <w:rsid w:val="38F6475A"/>
    <w:rsid w:val="38FB6CBA"/>
    <w:rsid w:val="392342CE"/>
    <w:rsid w:val="39332E81"/>
    <w:rsid w:val="3962482A"/>
    <w:rsid w:val="396E3636"/>
    <w:rsid w:val="397C3770"/>
    <w:rsid w:val="397D0478"/>
    <w:rsid w:val="397F4150"/>
    <w:rsid w:val="39B7115A"/>
    <w:rsid w:val="39BF93A4"/>
    <w:rsid w:val="39C6A9FD"/>
    <w:rsid w:val="39CF834D"/>
    <w:rsid w:val="39FA7337"/>
    <w:rsid w:val="39FF1E15"/>
    <w:rsid w:val="3A310AB7"/>
    <w:rsid w:val="3A3F71AD"/>
    <w:rsid w:val="3A4F7CC5"/>
    <w:rsid w:val="3A5FD960"/>
    <w:rsid w:val="3A675AA5"/>
    <w:rsid w:val="3A6F6E31"/>
    <w:rsid w:val="3A7924DE"/>
    <w:rsid w:val="3A9FC5CD"/>
    <w:rsid w:val="3A9FFC0B"/>
    <w:rsid w:val="3AB3C428"/>
    <w:rsid w:val="3ACF1742"/>
    <w:rsid w:val="3ADDBEE6"/>
    <w:rsid w:val="3AE3B7A3"/>
    <w:rsid w:val="3AF64E5C"/>
    <w:rsid w:val="3AFD2FB5"/>
    <w:rsid w:val="3B1128CB"/>
    <w:rsid w:val="3B17AED5"/>
    <w:rsid w:val="3B2EA58A"/>
    <w:rsid w:val="3B365BA1"/>
    <w:rsid w:val="3B3CD262"/>
    <w:rsid w:val="3B3EB8B7"/>
    <w:rsid w:val="3B3F07D8"/>
    <w:rsid w:val="3B4319F9"/>
    <w:rsid w:val="3B445230"/>
    <w:rsid w:val="3B4C7D5C"/>
    <w:rsid w:val="3B511C03"/>
    <w:rsid w:val="3B532F34"/>
    <w:rsid w:val="3B746A50"/>
    <w:rsid w:val="3B7559CF"/>
    <w:rsid w:val="3B78982B"/>
    <w:rsid w:val="3B79FA27"/>
    <w:rsid w:val="3B7B5587"/>
    <w:rsid w:val="3B7B79C0"/>
    <w:rsid w:val="3B7D9D7F"/>
    <w:rsid w:val="3B7F5BDD"/>
    <w:rsid w:val="3B850573"/>
    <w:rsid w:val="3B852487"/>
    <w:rsid w:val="3B8B1A48"/>
    <w:rsid w:val="3B8E44D2"/>
    <w:rsid w:val="3B9F5042"/>
    <w:rsid w:val="3BB7F2AC"/>
    <w:rsid w:val="3BC776BB"/>
    <w:rsid w:val="3BCF35A2"/>
    <w:rsid w:val="3BDD96B4"/>
    <w:rsid w:val="3BDFCDD0"/>
    <w:rsid w:val="3BE4DF02"/>
    <w:rsid w:val="3BEC1F03"/>
    <w:rsid w:val="3BEEA544"/>
    <w:rsid w:val="3BEFEE36"/>
    <w:rsid w:val="3BF362FE"/>
    <w:rsid w:val="3BF3EEBB"/>
    <w:rsid w:val="3BF70A16"/>
    <w:rsid w:val="3BF7AA57"/>
    <w:rsid w:val="3BFB0444"/>
    <w:rsid w:val="3BFB95BE"/>
    <w:rsid w:val="3BFBAB12"/>
    <w:rsid w:val="3BFDC323"/>
    <w:rsid w:val="3BFE6BFB"/>
    <w:rsid w:val="3BFF0429"/>
    <w:rsid w:val="3BFF41E4"/>
    <w:rsid w:val="3BFF4329"/>
    <w:rsid w:val="3BFF8FAA"/>
    <w:rsid w:val="3C123F18"/>
    <w:rsid w:val="3C2DAFA4"/>
    <w:rsid w:val="3C35C2F8"/>
    <w:rsid w:val="3C3E5202"/>
    <w:rsid w:val="3C3F8452"/>
    <w:rsid w:val="3C622DBB"/>
    <w:rsid w:val="3C7EB3DF"/>
    <w:rsid w:val="3C7F28AC"/>
    <w:rsid w:val="3C836BC3"/>
    <w:rsid w:val="3CB35F71"/>
    <w:rsid w:val="3CD66C1E"/>
    <w:rsid w:val="3CDDD279"/>
    <w:rsid w:val="3CE6BD70"/>
    <w:rsid w:val="3CF762FC"/>
    <w:rsid w:val="3CFF8635"/>
    <w:rsid w:val="3CFFEC72"/>
    <w:rsid w:val="3CFFF5CC"/>
    <w:rsid w:val="3D1BB4DD"/>
    <w:rsid w:val="3D1C2A69"/>
    <w:rsid w:val="3D256290"/>
    <w:rsid w:val="3D2FDD23"/>
    <w:rsid w:val="3D378F5D"/>
    <w:rsid w:val="3D3C812E"/>
    <w:rsid w:val="3D5741ED"/>
    <w:rsid w:val="3D5E2ADD"/>
    <w:rsid w:val="3D6F7033"/>
    <w:rsid w:val="3D72708D"/>
    <w:rsid w:val="3D7509C4"/>
    <w:rsid w:val="3D76B2C7"/>
    <w:rsid w:val="3D7E81C6"/>
    <w:rsid w:val="3D7F5157"/>
    <w:rsid w:val="3D854CEC"/>
    <w:rsid w:val="3D8E26FB"/>
    <w:rsid w:val="3D972F05"/>
    <w:rsid w:val="3D9A3369"/>
    <w:rsid w:val="3D9E6D52"/>
    <w:rsid w:val="3DAF4B5E"/>
    <w:rsid w:val="3DAFD9B9"/>
    <w:rsid w:val="3DBAD958"/>
    <w:rsid w:val="3DBDFB99"/>
    <w:rsid w:val="3DBFBAC6"/>
    <w:rsid w:val="3DC72634"/>
    <w:rsid w:val="3DD75419"/>
    <w:rsid w:val="3DD79106"/>
    <w:rsid w:val="3DDB6D4A"/>
    <w:rsid w:val="3DDD55F0"/>
    <w:rsid w:val="3DDE718A"/>
    <w:rsid w:val="3DDF301E"/>
    <w:rsid w:val="3DE16B19"/>
    <w:rsid w:val="3DE7A44E"/>
    <w:rsid w:val="3DE90542"/>
    <w:rsid w:val="3DEA1A20"/>
    <w:rsid w:val="3DEB3190"/>
    <w:rsid w:val="3DEE2783"/>
    <w:rsid w:val="3DEF3C1B"/>
    <w:rsid w:val="3DF09F21"/>
    <w:rsid w:val="3DF588D4"/>
    <w:rsid w:val="3DF73AA1"/>
    <w:rsid w:val="3DF7CDD0"/>
    <w:rsid w:val="3DF7ED73"/>
    <w:rsid w:val="3DF7FF13"/>
    <w:rsid w:val="3DF92B2F"/>
    <w:rsid w:val="3DFAC5A2"/>
    <w:rsid w:val="3DFD927C"/>
    <w:rsid w:val="3DFE4E99"/>
    <w:rsid w:val="3DFEA586"/>
    <w:rsid w:val="3DFF2A7C"/>
    <w:rsid w:val="3DFF3DAC"/>
    <w:rsid w:val="3DFF7859"/>
    <w:rsid w:val="3DFF902F"/>
    <w:rsid w:val="3DFF910D"/>
    <w:rsid w:val="3DFFDA3A"/>
    <w:rsid w:val="3E0BF37B"/>
    <w:rsid w:val="3E1C2E2C"/>
    <w:rsid w:val="3E1ECED9"/>
    <w:rsid w:val="3E330175"/>
    <w:rsid w:val="3E331F82"/>
    <w:rsid w:val="3E4B1963"/>
    <w:rsid w:val="3E6CF1B3"/>
    <w:rsid w:val="3E77281B"/>
    <w:rsid w:val="3E77E9B8"/>
    <w:rsid w:val="3E7B5223"/>
    <w:rsid w:val="3EB1CBF4"/>
    <w:rsid w:val="3EB76958"/>
    <w:rsid w:val="3EBB081F"/>
    <w:rsid w:val="3EBEB470"/>
    <w:rsid w:val="3EBEB682"/>
    <w:rsid w:val="3EC3DFDD"/>
    <w:rsid w:val="3ECBD983"/>
    <w:rsid w:val="3ECF7163"/>
    <w:rsid w:val="3ED27FE3"/>
    <w:rsid w:val="3ED402CB"/>
    <w:rsid w:val="3EDCDF02"/>
    <w:rsid w:val="3EDD38F8"/>
    <w:rsid w:val="3EDF2A2A"/>
    <w:rsid w:val="3EDF44C6"/>
    <w:rsid w:val="3EDFA71C"/>
    <w:rsid w:val="3EE56A0B"/>
    <w:rsid w:val="3EEE3AF7"/>
    <w:rsid w:val="3EEF667B"/>
    <w:rsid w:val="3EEF75F1"/>
    <w:rsid w:val="3EF4F997"/>
    <w:rsid w:val="3EF69E90"/>
    <w:rsid w:val="3EF71156"/>
    <w:rsid w:val="3EF7363E"/>
    <w:rsid w:val="3EFA9637"/>
    <w:rsid w:val="3EFB0A7B"/>
    <w:rsid w:val="3EFB0FFF"/>
    <w:rsid w:val="3EFB288C"/>
    <w:rsid w:val="3EFB5CD7"/>
    <w:rsid w:val="3EFB6853"/>
    <w:rsid w:val="3EFF3CDE"/>
    <w:rsid w:val="3EFFB1C2"/>
    <w:rsid w:val="3EFFE23D"/>
    <w:rsid w:val="3EFFE81A"/>
    <w:rsid w:val="3F0BC216"/>
    <w:rsid w:val="3F1FC42C"/>
    <w:rsid w:val="3F362E23"/>
    <w:rsid w:val="3F3A2BB3"/>
    <w:rsid w:val="3F5BA88A"/>
    <w:rsid w:val="3F5F08AF"/>
    <w:rsid w:val="3F5F2FF4"/>
    <w:rsid w:val="3F5F3E12"/>
    <w:rsid w:val="3F6B8AAC"/>
    <w:rsid w:val="3F6F2402"/>
    <w:rsid w:val="3F71582A"/>
    <w:rsid w:val="3F7222EA"/>
    <w:rsid w:val="3F7378B3"/>
    <w:rsid w:val="3F778A18"/>
    <w:rsid w:val="3F7B4935"/>
    <w:rsid w:val="3F7BC927"/>
    <w:rsid w:val="3F7C107C"/>
    <w:rsid w:val="3F7D128D"/>
    <w:rsid w:val="3F7DD29C"/>
    <w:rsid w:val="3F7F0B04"/>
    <w:rsid w:val="3F7F5E78"/>
    <w:rsid w:val="3F7F8538"/>
    <w:rsid w:val="3F8270F5"/>
    <w:rsid w:val="3F84843E"/>
    <w:rsid w:val="3F8DBE08"/>
    <w:rsid w:val="3F8F7424"/>
    <w:rsid w:val="3F97735E"/>
    <w:rsid w:val="3F9923E3"/>
    <w:rsid w:val="3F9F4898"/>
    <w:rsid w:val="3FA3524C"/>
    <w:rsid w:val="3FA7060C"/>
    <w:rsid w:val="3FAC16B2"/>
    <w:rsid w:val="3FAF7A38"/>
    <w:rsid w:val="3FB98801"/>
    <w:rsid w:val="3FBB8DE6"/>
    <w:rsid w:val="3FBC12DC"/>
    <w:rsid w:val="3FBD43FB"/>
    <w:rsid w:val="3FBEA538"/>
    <w:rsid w:val="3FBF69CD"/>
    <w:rsid w:val="3FBF7F47"/>
    <w:rsid w:val="3FC147C6"/>
    <w:rsid w:val="3FCD47CD"/>
    <w:rsid w:val="3FCF074C"/>
    <w:rsid w:val="3FCFA766"/>
    <w:rsid w:val="3FD744FC"/>
    <w:rsid w:val="3FD76876"/>
    <w:rsid w:val="3FDB1DBC"/>
    <w:rsid w:val="3FDB29B9"/>
    <w:rsid w:val="3FDBD571"/>
    <w:rsid w:val="3FDDA332"/>
    <w:rsid w:val="3FDE13E5"/>
    <w:rsid w:val="3FDF0BA3"/>
    <w:rsid w:val="3FDF39A3"/>
    <w:rsid w:val="3FDF3D18"/>
    <w:rsid w:val="3FDFA0D1"/>
    <w:rsid w:val="3FDFCA7A"/>
    <w:rsid w:val="3FE24938"/>
    <w:rsid w:val="3FE73B4C"/>
    <w:rsid w:val="3FE769AA"/>
    <w:rsid w:val="3FE77448"/>
    <w:rsid w:val="3FEAE8ED"/>
    <w:rsid w:val="3FEB8194"/>
    <w:rsid w:val="3FEB87F6"/>
    <w:rsid w:val="3FED186B"/>
    <w:rsid w:val="3FEF1136"/>
    <w:rsid w:val="3FEFAFCE"/>
    <w:rsid w:val="3FEFBD12"/>
    <w:rsid w:val="3FEFD299"/>
    <w:rsid w:val="3FF12EC3"/>
    <w:rsid w:val="3FF388B5"/>
    <w:rsid w:val="3FF55FA4"/>
    <w:rsid w:val="3FF5AEAE"/>
    <w:rsid w:val="3FF5D12E"/>
    <w:rsid w:val="3FF73AEB"/>
    <w:rsid w:val="3FF78848"/>
    <w:rsid w:val="3FF7F478"/>
    <w:rsid w:val="3FF9B749"/>
    <w:rsid w:val="3FFA6C87"/>
    <w:rsid w:val="3FFB53DE"/>
    <w:rsid w:val="3FFB87DB"/>
    <w:rsid w:val="3FFB9C01"/>
    <w:rsid w:val="3FFBB7BA"/>
    <w:rsid w:val="3FFBBEB8"/>
    <w:rsid w:val="3FFD93EF"/>
    <w:rsid w:val="3FFDBB24"/>
    <w:rsid w:val="3FFDBC5F"/>
    <w:rsid w:val="3FFDCFC7"/>
    <w:rsid w:val="3FFDD19F"/>
    <w:rsid w:val="3FFDEBD2"/>
    <w:rsid w:val="3FFE1CE2"/>
    <w:rsid w:val="3FFE750F"/>
    <w:rsid w:val="3FFED8FA"/>
    <w:rsid w:val="3FFEF90A"/>
    <w:rsid w:val="3FFF18B5"/>
    <w:rsid w:val="3FFF571C"/>
    <w:rsid w:val="3FFF6C5C"/>
    <w:rsid w:val="3FFF7E1F"/>
    <w:rsid w:val="3FFFB1DD"/>
    <w:rsid w:val="401B49F1"/>
    <w:rsid w:val="403F72A5"/>
    <w:rsid w:val="40972C3D"/>
    <w:rsid w:val="40E4016E"/>
    <w:rsid w:val="40F2750E"/>
    <w:rsid w:val="40F30B62"/>
    <w:rsid w:val="4124398E"/>
    <w:rsid w:val="417E5BAB"/>
    <w:rsid w:val="419C7ECA"/>
    <w:rsid w:val="41BA36C2"/>
    <w:rsid w:val="41C6A3A2"/>
    <w:rsid w:val="41E66886"/>
    <w:rsid w:val="41F873DC"/>
    <w:rsid w:val="422427A9"/>
    <w:rsid w:val="422C4AC9"/>
    <w:rsid w:val="42BFAABF"/>
    <w:rsid w:val="42C41750"/>
    <w:rsid w:val="43544F51"/>
    <w:rsid w:val="437D7DE1"/>
    <w:rsid w:val="438B63A5"/>
    <w:rsid w:val="43975F72"/>
    <w:rsid w:val="439E2A0F"/>
    <w:rsid w:val="43D65E6C"/>
    <w:rsid w:val="43DF200D"/>
    <w:rsid w:val="43EE76DA"/>
    <w:rsid w:val="43FF248A"/>
    <w:rsid w:val="44352E99"/>
    <w:rsid w:val="446A6A62"/>
    <w:rsid w:val="44750A86"/>
    <w:rsid w:val="44BC4BE5"/>
    <w:rsid w:val="45077F8D"/>
    <w:rsid w:val="45177289"/>
    <w:rsid w:val="452B1108"/>
    <w:rsid w:val="45AD7920"/>
    <w:rsid w:val="45CEDEA5"/>
    <w:rsid w:val="45FBECC8"/>
    <w:rsid w:val="45FEF85B"/>
    <w:rsid w:val="4651CFD2"/>
    <w:rsid w:val="465F5C49"/>
    <w:rsid w:val="46A6C1BB"/>
    <w:rsid w:val="46B6A560"/>
    <w:rsid w:val="46D99E55"/>
    <w:rsid w:val="46E31068"/>
    <w:rsid w:val="46F58418"/>
    <w:rsid w:val="46F7A1AC"/>
    <w:rsid w:val="46FA9D70"/>
    <w:rsid w:val="477430F4"/>
    <w:rsid w:val="47961FF6"/>
    <w:rsid w:val="47992990"/>
    <w:rsid w:val="47A67C0A"/>
    <w:rsid w:val="47A7A916"/>
    <w:rsid w:val="47B7D6F0"/>
    <w:rsid w:val="47BE2FAA"/>
    <w:rsid w:val="47D209FF"/>
    <w:rsid w:val="47D429C9"/>
    <w:rsid w:val="47D7D387"/>
    <w:rsid w:val="47DB7491"/>
    <w:rsid w:val="47DE7539"/>
    <w:rsid w:val="47DF09C0"/>
    <w:rsid w:val="47DF6F49"/>
    <w:rsid w:val="47E37549"/>
    <w:rsid w:val="47F76903"/>
    <w:rsid w:val="47F7A26E"/>
    <w:rsid w:val="47FD72C5"/>
    <w:rsid w:val="480C15C5"/>
    <w:rsid w:val="48490226"/>
    <w:rsid w:val="487F6B10"/>
    <w:rsid w:val="489F2FD7"/>
    <w:rsid w:val="48ADCCA4"/>
    <w:rsid w:val="48B6A60F"/>
    <w:rsid w:val="48CE4280"/>
    <w:rsid w:val="490D1761"/>
    <w:rsid w:val="49441FD2"/>
    <w:rsid w:val="497DADC7"/>
    <w:rsid w:val="49E11E95"/>
    <w:rsid w:val="49EF0EC3"/>
    <w:rsid w:val="49F6E098"/>
    <w:rsid w:val="49FBC7DC"/>
    <w:rsid w:val="4A1315F5"/>
    <w:rsid w:val="4A1923A8"/>
    <w:rsid w:val="4A7F85BD"/>
    <w:rsid w:val="4ADB7E5A"/>
    <w:rsid w:val="4AF5EB71"/>
    <w:rsid w:val="4B51491C"/>
    <w:rsid w:val="4B53E48D"/>
    <w:rsid w:val="4B57E7DC"/>
    <w:rsid w:val="4B755457"/>
    <w:rsid w:val="4B7D132A"/>
    <w:rsid w:val="4BDF0754"/>
    <w:rsid w:val="4BDF0E03"/>
    <w:rsid w:val="4BFA0524"/>
    <w:rsid w:val="4BFBA3F0"/>
    <w:rsid w:val="4BFBA8F0"/>
    <w:rsid w:val="4BFBDB79"/>
    <w:rsid w:val="4BFCFE40"/>
    <w:rsid w:val="4BFE24F1"/>
    <w:rsid w:val="4BFE4220"/>
    <w:rsid w:val="4BFF15E0"/>
    <w:rsid w:val="4BFF6E9E"/>
    <w:rsid w:val="4BFFA7E2"/>
    <w:rsid w:val="4C735B16"/>
    <w:rsid w:val="4CD78E29"/>
    <w:rsid w:val="4CDB6EEC"/>
    <w:rsid w:val="4CE791C8"/>
    <w:rsid w:val="4CEF3B16"/>
    <w:rsid w:val="4CF40196"/>
    <w:rsid w:val="4D0E072B"/>
    <w:rsid w:val="4D2744F0"/>
    <w:rsid w:val="4D2832EB"/>
    <w:rsid w:val="4D2ED218"/>
    <w:rsid w:val="4D36558C"/>
    <w:rsid w:val="4D3831E7"/>
    <w:rsid w:val="4D3B3147"/>
    <w:rsid w:val="4D7F91F4"/>
    <w:rsid w:val="4DA573A0"/>
    <w:rsid w:val="4DA9751F"/>
    <w:rsid w:val="4DB3ECDB"/>
    <w:rsid w:val="4DB47AD3"/>
    <w:rsid w:val="4DB766CD"/>
    <w:rsid w:val="4DD52F25"/>
    <w:rsid w:val="4DD7B0A1"/>
    <w:rsid w:val="4DD7D847"/>
    <w:rsid w:val="4DE339BF"/>
    <w:rsid w:val="4DE7736E"/>
    <w:rsid w:val="4DED75ED"/>
    <w:rsid w:val="4DFBA3F4"/>
    <w:rsid w:val="4DFD950C"/>
    <w:rsid w:val="4DFDD970"/>
    <w:rsid w:val="4DFEEB60"/>
    <w:rsid w:val="4DFEF1B3"/>
    <w:rsid w:val="4E2EC2BE"/>
    <w:rsid w:val="4E380177"/>
    <w:rsid w:val="4E5555B5"/>
    <w:rsid w:val="4E5B958C"/>
    <w:rsid w:val="4E5E0FAD"/>
    <w:rsid w:val="4E6A2E53"/>
    <w:rsid w:val="4E7D1B9E"/>
    <w:rsid w:val="4E7FEC53"/>
    <w:rsid w:val="4EDB950C"/>
    <w:rsid w:val="4EEB10AB"/>
    <w:rsid w:val="4EED5ACD"/>
    <w:rsid w:val="4EF3EBAA"/>
    <w:rsid w:val="4EFBA291"/>
    <w:rsid w:val="4EFBB06B"/>
    <w:rsid w:val="4EFC512F"/>
    <w:rsid w:val="4EFE3D6F"/>
    <w:rsid w:val="4EFF9EA8"/>
    <w:rsid w:val="4F1B2F57"/>
    <w:rsid w:val="4F36FFDA"/>
    <w:rsid w:val="4F4B2B85"/>
    <w:rsid w:val="4F570036"/>
    <w:rsid w:val="4F585FF3"/>
    <w:rsid w:val="4F5F0CE0"/>
    <w:rsid w:val="4F6B8EC8"/>
    <w:rsid w:val="4F7244C5"/>
    <w:rsid w:val="4F779BE9"/>
    <w:rsid w:val="4F7D1983"/>
    <w:rsid w:val="4F7D6D56"/>
    <w:rsid w:val="4F7DA084"/>
    <w:rsid w:val="4F7E4EE7"/>
    <w:rsid w:val="4F7EE6CE"/>
    <w:rsid w:val="4F7F0457"/>
    <w:rsid w:val="4F7F2745"/>
    <w:rsid w:val="4F7F583A"/>
    <w:rsid w:val="4F7FBFCC"/>
    <w:rsid w:val="4F7FC7AC"/>
    <w:rsid w:val="4F883A8E"/>
    <w:rsid w:val="4F890A0D"/>
    <w:rsid w:val="4F8FF437"/>
    <w:rsid w:val="4FA3AD7E"/>
    <w:rsid w:val="4FABE133"/>
    <w:rsid w:val="4FAD8A62"/>
    <w:rsid w:val="4FB58AB0"/>
    <w:rsid w:val="4FBBD22C"/>
    <w:rsid w:val="4FBC1766"/>
    <w:rsid w:val="4FBDC4F2"/>
    <w:rsid w:val="4FBE6FAB"/>
    <w:rsid w:val="4FC59B08"/>
    <w:rsid w:val="4FD963E5"/>
    <w:rsid w:val="4FD9B63B"/>
    <w:rsid w:val="4FDBEACD"/>
    <w:rsid w:val="4FDFEBA7"/>
    <w:rsid w:val="4FEB8C7F"/>
    <w:rsid w:val="4FEBF62A"/>
    <w:rsid w:val="4FED5845"/>
    <w:rsid w:val="4FEEB5A4"/>
    <w:rsid w:val="4FEF6123"/>
    <w:rsid w:val="4FF5FE83"/>
    <w:rsid w:val="4FF6CDEC"/>
    <w:rsid w:val="4FF92AAF"/>
    <w:rsid w:val="4FFB93C3"/>
    <w:rsid w:val="4FFB9C29"/>
    <w:rsid w:val="4FFDA8FC"/>
    <w:rsid w:val="4FFEA613"/>
    <w:rsid w:val="4FFF145E"/>
    <w:rsid w:val="4FFF2BD2"/>
    <w:rsid w:val="4FFF311C"/>
    <w:rsid w:val="4FFF4AD2"/>
    <w:rsid w:val="4FFF5337"/>
    <w:rsid w:val="4FFFC467"/>
    <w:rsid w:val="502E2550"/>
    <w:rsid w:val="50596830"/>
    <w:rsid w:val="507FC58A"/>
    <w:rsid w:val="50881FD3"/>
    <w:rsid w:val="50AF5D81"/>
    <w:rsid w:val="50B13185"/>
    <w:rsid w:val="50E58896"/>
    <w:rsid w:val="50F1A2B4"/>
    <w:rsid w:val="50F5D9FC"/>
    <w:rsid w:val="510D70AE"/>
    <w:rsid w:val="511F477C"/>
    <w:rsid w:val="5124706D"/>
    <w:rsid w:val="518D5EA7"/>
    <w:rsid w:val="51A77284"/>
    <w:rsid w:val="51C4585C"/>
    <w:rsid w:val="51DFF72A"/>
    <w:rsid w:val="51EB850D"/>
    <w:rsid w:val="51FFC887"/>
    <w:rsid w:val="520B7076"/>
    <w:rsid w:val="523F7A12"/>
    <w:rsid w:val="52664EBE"/>
    <w:rsid w:val="528C45CC"/>
    <w:rsid w:val="528F7C18"/>
    <w:rsid w:val="52AD62F0"/>
    <w:rsid w:val="52B77236"/>
    <w:rsid w:val="52C6328F"/>
    <w:rsid w:val="52ED368F"/>
    <w:rsid w:val="52F12681"/>
    <w:rsid w:val="52FF2119"/>
    <w:rsid w:val="52FFD89C"/>
    <w:rsid w:val="53181342"/>
    <w:rsid w:val="535904D8"/>
    <w:rsid w:val="535B3809"/>
    <w:rsid w:val="537664C1"/>
    <w:rsid w:val="537E71A6"/>
    <w:rsid w:val="537F77EC"/>
    <w:rsid w:val="5393CDAC"/>
    <w:rsid w:val="53A05E5C"/>
    <w:rsid w:val="53A9D517"/>
    <w:rsid w:val="53AFFCF0"/>
    <w:rsid w:val="53B9F0BE"/>
    <w:rsid w:val="53BF4AE2"/>
    <w:rsid w:val="53BFB3DB"/>
    <w:rsid w:val="53CFCB55"/>
    <w:rsid w:val="53EF62BF"/>
    <w:rsid w:val="53F00B8B"/>
    <w:rsid w:val="53FA0504"/>
    <w:rsid w:val="53FB57CF"/>
    <w:rsid w:val="53FFC666"/>
    <w:rsid w:val="541171A3"/>
    <w:rsid w:val="54B5485B"/>
    <w:rsid w:val="54BD607A"/>
    <w:rsid w:val="54BED98A"/>
    <w:rsid w:val="54CE1930"/>
    <w:rsid w:val="54FFE9A8"/>
    <w:rsid w:val="551F1529"/>
    <w:rsid w:val="55685444"/>
    <w:rsid w:val="5577AE32"/>
    <w:rsid w:val="557EDFCA"/>
    <w:rsid w:val="559D43FA"/>
    <w:rsid w:val="55AB6445"/>
    <w:rsid w:val="55ABF0C9"/>
    <w:rsid w:val="55AE69B5"/>
    <w:rsid w:val="55B17D0B"/>
    <w:rsid w:val="55CC5DDD"/>
    <w:rsid w:val="55D7A1B8"/>
    <w:rsid w:val="55DD513F"/>
    <w:rsid w:val="55DEA56F"/>
    <w:rsid w:val="55E91EAA"/>
    <w:rsid w:val="55E951FF"/>
    <w:rsid w:val="55F30E46"/>
    <w:rsid w:val="55F9F41B"/>
    <w:rsid w:val="55FFD736"/>
    <w:rsid w:val="55FFE1D7"/>
    <w:rsid w:val="55FFE4C1"/>
    <w:rsid w:val="5616385D"/>
    <w:rsid w:val="565A6683"/>
    <w:rsid w:val="567783A7"/>
    <w:rsid w:val="56DF4D56"/>
    <w:rsid w:val="56E2634F"/>
    <w:rsid w:val="56EECDE0"/>
    <w:rsid w:val="56EF7BE6"/>
    <w:rsid w:val="56F609A5"/>
    <w:rsid w:val="56FB0A4D"/>
    <w:rsid w:val="570D3404"/>
    <w:rsid w:val="57224AB8"/>
    <w:rsid w:val="572A032B"/>
    <w:rsid w:val="575BF5EE"/>
    <w:rsid w:val="575D5EEA"/>
    <w:rsid w:val="575E8B83"/>
    <w:rsid w:val="57675B55"/>
    <w:rsid w:val="576F8D24"/>
    <w:rsid w:val="576FEDA5"/>
    <w:rsid w:val="57771022"/>
    <w:rsid w:val="577B1282"/>
    <w:rsid w:val="577EF780"/>
    <w:rsid w:val="577F1998"/>
    <w:rsid w:val="5799527F"/>
    <w:rsid w:val="579CAF9B"/>
    <w:rsid w:val="57BDB7D2"/>
    <w:rsid w:val="57BDD6A1"/>
    <w:rsid w:val="57BE7F00"/>
    <w:rsid w:val="57BF0E91"/>
    <w:rsid w:val="57D30EEE"/>
    <w:rsid w:val="57DC0908"/>
    <w:rsid w:val="57DF0389"/>
    <w:rsid w:val="57DF201D"/>
    <w:rsid w:val="57F1D769"/>
    <w:rsid w:val="57F35EA2"/>
    <w:rsid w:val="57F741C9"/>
    <w:rsid w:val="57F75E4A"/>
    <w:rsid w:val="57FB65A0"/>
    <w:rsid w:val="57FB7AD0"/>
    <w:rsid w:val="57FDC863"/>
    <w:rsid w:val="57FF0934"/>
    <w:rsid w:val="57FF4256"/>
    <w:rsid w:val="57FFC4EA"/>
    <w:rsid w:val="587B6D6E"/>
    <w:rsid w:val="58A81A34"/>
    <w:rsid w:val="58B869E4"/>
    <w:rsid w:val="58CB7C1C"/>
    <w:rsid w:val="58E14F7F"/>
    <w:rsid w:val="58E818D8"/>
    <w:rsid w:val="58FEBE42"/>
    <w:rsid w:val="58FEEB1A"/>
    <w:rsid w:val="5951306C"/>
    <w:rsid w:val="59536D0F"/>
    <w:rsid w:val="596645B3"/>
    <w:rsid w:val="596EE72D"/>
    <w:rsid w:val="599DCDC5"/>
    <w:rsid w:val="59A16493"/>
    <w:rsid w:val="59AE64A4"/>
    <w:rsid w:val="59B6F508"/>
    <w:rsid w:val="59B7E894"/>
    <w:rsid w:val="59BD08DA"/>
    <w:rsid w:val="59BD7901"/>
    <w:rsid w:val="59C76586"/>
    <w:rsid w:val="59D86349"/>
    <w:rsid w:val="59DDBAFD"/>
    <w:rsid w:val="59ED3476"/>
    <w:rsid w:val="59FE358B"/>
    <w:rsid w:val="59FE6A78"/>
    <w:rsid w:val="59FF254E"/>
    <w:rsid w:val="59FF65C0"/>
    <w:rsid w:val="5A1530F9"/>
    <w:rsid w:val="5A1F8D82"/>
    <w:rsid w:val="5A37FF61"/>
    <w:rsid w:val="5A541C81"/>
    <w:rsid w:val="5A625C12"/>
    <w:rsid w:val="5A7E2416"/>
    <w:rsid w:val="5A96A96C"/>
    <w:rsid w:val="5AB5EDD5"/>
    <w:rsid w:val="5AC275E0"/>
    <w:rsid w:val="5ACF2AF0"/>
    <w:rsid w:val="5AD1F137"/>
    <w:rsid w:val="5AF7B6F7"/>
    <w:rsid w:val="5AFE29FE"/>
    <w:rsid w:val="5AFF32BA"/>
    <w:rsid w:val="5AFF6CD2"/>
    <w:rsid w:val="5AFF82B0"/>
    <w:rsid w:val="5B197989"/>
    <w:rsid w:val="5B1B8B9D"/>
    <w:rsid w:val="5B37A872"/>
    <w:rsid w:val="5B3AE300"/>
    <w:rsid w:val="5B4F023A"/>
    <w:rsid w:val="5B637E94"/>
    <w:rsid w:val="5B674FB2"/>
    <w:rsid w:val="5B751BF3"/>
    <w:rsid w:val="5B776FDE"/>
    <w:rsid w:val="5B7B05F6"/>
    <w:rsid w:val="5B7B7E10"/>
    <w:rsid w:val="5B7CBAD1"/>
    <w:rsid w:val="5B7DCF66"/>
    <w:rsid w:val="5B7FBE15"/>
    <w:rsid w:val="5B9FA850"/>
    <w:rsid w:val="5BAF449F"/>
    <w:rsid w:val="5BAF54CF"/>
    <w:rsid w:val="5BB3F68B"/>
    <w:rsid w:val="5BB94DF4"/>
    <w:rsid w:val="5BBE3427"/>
    <w:rsid w:val="5BBE405A"/>
    <w:rsid w:val="5BBF2D71"/>
    <w:rsid w:val="5BBF81C7"/>
    <w:rsid w:val="5BBFBBFE"/>
    <w:rsid w:val="5BC7C042"/>
    <w:rsid w:val="5BD5C4E8"/>
    <w:rsid w:val="5BD65A48"/>
    <w:rsid w:val="5BDDF61E"/>
    <w:rsid w:val="5BDF34B3"/>
    <w:rsid w:val="5BDFBDF9"/>
    <w:rsid w:val="5BE39024"/>
    <w:rsid w:val="5BE3A7E2"/>
    <w:rsid w:val="5BE502C7"/>
    <w:rsid w:val="5BE7332E"/>
    <w:rsid w:val="5BEAA553"/>
    <w:rsid w:val="5BEF730D"/>
    <w:rsid w:val="5BF45B3C"/>
    <w:rsid w:val="5BF56016"/>
    <w:rsid w:val="5BF65294"/>
    <w:rsid w:val="5BF79722"/>
    <w:rsid w:val="5BF9519A"/>
    <w:rsid w:val="5BF9C60C"/>
    <w:rsid w:val="5BFA0483"/>
    <w:rsid w:val="5BFA1548"/>
    <w:rsid w:val="5BFD8D94"/>
    <w:rsid w:val="5BFE73EF"/>
    <w:rsid w:val="5BFEB610"/>
    <w:rsid w:val="5BFFC438"/>
    <w:rsid w:val="5BFFCBA7"/>
    <w:rsid w:val="5BFFEF40"/>
    <w:rsid w:val="5C03179A"/>
    <w:rsid w:val="5C2B6411"/>
    <w:rsid w:val="5C3A48CF"/>
    <w:rsid w:val="5C3A530B"/>
    <w:rsid w:val="5C3D32EF"/>
    <w:rsid w:val="5C401E3B"/>
    <w:rsid w:val="5C71213D"/>
    <w:rsid w:val="5C773F66"/>
    <w:rsid w:val="5C7F9445"/>
    <w:rsid w:val="5C8703F1"/>
    <w:rsid w:val="5C935A59"/>
    <w:rsid w:val="5C99018A"/>
    <w:rsid w:val="5CBB95A4"/>
    <w:rsid w:val="5CBD4BB1"/>
    <w:rsid w:val="5CBE6383"/>
    <w:rsid w:val="5CE36A22"/>
    <w:rsid w:val="5CE5E7F0"/>
    <w:rsid w:val="5CF578E2"/>
    <w:rsid w:val="5CFB622F"/>
    <w:rsid w:val="5CFB9D13"/>
    <w:rsid w:val="5CFDC7CF"/>
    <w:rsid w:val="5D253216"/>
    <w:rsid w:val="5D3C501D"/>
    <w:rsid w:val="5D3E7638"/>
    <w:rsid w:val="5D3F0145"/>
    <w:rsid w:val="5D3F0E66"/>
    <w:rsid w:val="5D5F7FFF"/>
    <w:rsid w:val="5D6DC6F6"/>
    <w:rsid w:val="5D786D1A"/>
    <w:rsid w:val="5D7ABA1B"/>
    <w:rsid w:val="5D7B17FE"/>
    <w:rsid w:val="5D7BB450"/>
    <w:rsid w:val="5D7DA266"/>
    <w:rsid w:val="5D7E491E"/>
    <w:rsid w:val="5D7F5249"/>
    <w:rsid w:val="5D7F63F4"/>
    <w:rsid w:val="5D7FDBF6"/>
    <w:rsid w:val="5D845EA0"/>
    <w:rsid w:val="5D99DCF8"/>
    <w:rsid w:val="5DAA683B"/>
    <w:rsid w:val="5DAF96A4"/>
    <w:rsid w:val="5DB607CD"/>
    <w:rsid w:val="5DB77E3E"/>
    <w:rsid w:val="5DBBC133"/>
    <w:rsid w:val="5DBBD61A"/>
    <w:rsid w:val="5DBF94FF"/>
    <w:rsid w:val="5DDB9556"/>
    <w:rsid w:val="5DDBC361"/>
    <w:rsid w:val="5DDF0CA0"/>
    <w:rsid w:val="5DDF3656"/>
    <w:rsid w:val="5DE5143F"/>
    <w:rsid w:val="5DEA5D83"/>
    <w:rsid w:val="5DEE3FA4"/>
    <w:rsid w:val="5DF357F8"/>
    <w:rsid w:val="5DF76FE8"/>
    <w:rsid w:val="5DF93D0D"/>
    <w:rsid w:val="5DFB4691"/>
    <w:rsid w:val="5DFBA834"/>
    <w:rsid w:val="5DFD05A8"/>
    <w:rsid w:val="5DFD23AC"/>
    <w:rsid w:val="5DFDAA05"/>
    <w:rsid w:val="5DFE71C9"/>
    <w:rsid w:val="5DFEC892"/>
    <w:rsid w:val="5DFF456E"/>
    <w:rsid w:val="5DFF84E5"/>
    <w:rsid w:val="5DFFC838"/>
    <w:rsid w:val="5E04316A"/>
    <w:rsid w:val="5E1A0AAE"/>
    <w:rsid w:val="5E39B5F5"/>
    <w:rsid w:val="5E3BEF40"/>
    <w:rsid w:val="5E3F543C"/>
    <w:rsid w:val="5E474320"/>
    <w:rsid w:val="5E5D67C3"/>
    <w:rsid w:val="5E6AB53A"/>
    <w:rsid w:val="5E6F2982"/>
    <w:rsid w:val="5E76380B"/>
    <w:rsid w:val="5E77B174"/>
    <w:rsid w:val="5E7E0C9C"/>
    <w:rsid w:val="5E7E3BE1"/>
    <w:rsid w:val="5E7ECE2E"/>
    <w:rsid w:val="5EB00C0C"/>
    <w:rsid w:val="5EB436CF"/>
    <w:rsid w:val="5EB7C0CB"/>
    <w:rsid w:val="5EBF517E"/>
    <w:rsid w:val="5EC79C9A"/>
    <w:rsid w:val="5ED3FC69"/>
    <w:rsid w:val="5ED59AFF"/>
    <w:rsid w:val="5EDAF423"/>
    <w:rsid w:val="5EDD9261"/>
    <w:rsid w:val="5EDDA1EE"/>
    <w:rsid w:val="5EDF22D7"/>
    <w:rsid w:val="5EEBC268"/>
    <w:rsid w:val="5EEFA40D"/>
    <w:rsid w:val="5EF2E875"/>
    <w:rsid w:val="5EF6BACD"/>
    <w:rsid w:val="5EF76992"/>
    <w:rsid w:val="5EF78563"/>
    <w:rsid w:val="5EF7E719"/>
    <w:rsid w:val="5EFBB964"/>
    <w:rsid w:val="5EFBD295"/>
    <w:rsid w:val="5EFF12EC"/>
    <w:rsid w:val="5EFF201F"/>
    <w:rsid w:val="5EFF5B98"/>
    <w:rsid w:val="5EFFED35"/>
    <w:rsid w:val="5F2F10FD"/>
    <w:rsid w:val="5F2F7EBE"/>
    <w:rsid w:val="5F321A5B"/>
    <w:rsid w:val="5F3D128E"/>
    <w:rsid w:val="5F3E5CA0"/>
    <w:rsid w:val="5F3F2E42"/>
    <w:rsid w:val="5F531E63"/>
    <w:rsid w:val="5F5EC744"/>
    <w:rsid w:val="5F5FF9DA"/>
    <w:rsid w:val="5F691ACC"/>
    <w:rsid w:val="5F6BF364"/>
    <w:rsid w:val="5F70492E"/>
    <w:rsid w:val="5F73C1F2"/>
    <w:rsid w:val="5F775D8F"/>
    <w:rsid w:val="5F7773E3"/>
    <w:rsid w:val="5F79F5E4"/>
    <w:rsid w:val="5F7B7611"/>
    <w:rsid w:val="5F7D605C"/>
    <w:rsid w:val="5F7F6412"/>
    <w:rsid w:val="5F7F78AA"/>
    <w:rsid w:val="5F7F88A6"/>
    <w:rsid w:val="5F7F96CF"/>
    <w:rsid w:val="5F7FA2F4"/>
    <w:rsid w:val="5F912706"/>
    <w:rsid w:val="5F9ACAAC"/>
    <w:rsid w:val="5F9B60C1"/>
    <w:rsid w:val="5F9C1EF7"/>
    <w:rsid w:val="5FA8A2DC"/>
    <w:rsid w:val="5FAAF63D"/>
    <w:rsid w:val="5FAB3BAB"/>
    <w:rsid w:val="5FAC583A"/>
    <w:rsid w:val="5FACD7B2"/>
    <w:rsid w:val="5FAF48BC"/>
    <w:rsid w:val="5FAF7DD1"/>
    <w:rsid w:val="5FB46664"/>
    <w:rsid w:val="5FB736BB"/>
    <w:rsid w:val="5FB7932C"/>
    <w:rsid w:val="5FBB145A"/>
    <w:rsid w:val="5FBB7730"/>
    <w:rsid w:val="5FBDAB7F"/>
    <w:rsid w:val="5FBDB06B"/>
    <w:rsid w:val="5FBE4C83"/>
    <w:rsid w:val="5FBF0DBD"/>
    <w:rsid w:val="5FBF35E7"/>
    <w:rsid w:val="5FBF5BD5"/>
    <w:rsid w:val="5FBF74E3"/>
    <w:rsid w:val="5FBF769D"/>
    <w:rsid w:val="5FBF993B"/>
    <w:rsid w:val="5FBFFF29"/>
    <w:rsid w:val="5FC6DE52"/>
    <w:rsid w:val="5FCA1653"/>
    <w:rsid w:val="5FCBAB4D"/>
    <w:rsid w:val="5FCFC603"/>
    <w:rsid w:val="5FD1AC62"/>
    <w:rsid w:val="5FD62774"/>
    <w:rsid w:val="5FD71771"/>
    <w:rsid w:val="5FDB8DF7"/>
    <w:rsid w:val="5FDCD373"/>
    <w:rsid w:val="5FDF0833"/>
    <w:rsid w:val="5FDF084A"/>
    <w:rsid w:val="5FDF2459"/>
    <w:rsid w:val="5FDF3867"/>
    <w:rsid w:val="5FDF4691"/>
    <w:rsid w:val="5FDF5D6A"/>
    <w:rsid w:val="5FDF7166"/>
    <w:rsid w:val="5FDFE43B"/>
    <w:rsid w:val="5FDFEE71"/>
    <w:rsid w:val="5FE79570"/>
    <w:rsid w:val="5FEB971D"/>
    <w:rsid w:val="5FEBCB92"/>
    <w:rsid w:val="5FEBF201"/>
    <w:rsid w:val="5FEBFE7B"/>
    <w:rsid w:val="5FEFAD33"/>
    <w:rsid w:val="5FEFAF66"/>
    <w:rsid w:val="5FF215AA"/>
    <w:rsid w:val="5FF24033"/>
    <w:rsid w:val="5FF444BD"/>
    <w:rsid w:val="5FF61FB0"/>
    <w:rsid w:val="5FF6484E"/>
    <w:rsid w:val="5FF6CB7C"/>
    <w:rsid w:val="5FF70460"/>
    <w:rsid w:val="5FF78C8B"/>
    <w:rsid w:val="5FF7A90C"/>
    <w:rsid w:val="5FF7D664"/>
    <w:rsid w:val="5FF97953"/>
    <w:rsid w:val="5FF993C8"/>
    <w:rsid w:val="5FF9EE8F"/>
    <w:rsid w:val="5FFA0869"/>
    <w:rsid w:val="5FFB0D60"/>
    <w:rsid w:val="5FFB4D6D"/>
    <w:rsid w:val="5FFB65EB"/>
    <w:rsid w:val="5FFCA153"/>
    <w:rsid w:val="5FFE5F71"/>
    <w:rsid w:val="5FFE85DC"/>
    <w:rsid w:val="5FFF2C29"/>
    <w:rsid w:val="5FFF3128"/>
    <w:rsid w:val="5FFF3F98"/>
    <w:rsid w:val="5FFF6452"/>
    <w:rsid w:val="5FFF76DB"/>
    <w:rsid w:val="5FFF79FD"/>
    <w:rsid w:val="5FFF81B8"/>
    <w:rsid w:val="5FFF9213"/>
    <w:rsid w:val="5FFF9C7D"/>
    <w:rsid w:val="5FFF9CDB"/>
    <w:rsid w:val="5FFFA4EB"/>
    <w:rsid w:val="5FFFA971"/>
    <w:rsid w:val="5FFFAB8A"/>
    <w:rsid w:val="5FFFB13C"/>
    <w:rsid w:val="5FFFB4CE"/>
    <w:rsid w:val="5FFFBC70"/>
    <w:rsid w:val="5FFFC6DD"/>
    <w:rsid w:val="5FFFCC81"/>
    <w:rsid w:val="5FFFD7C3"/>
    <w:rsid w:val="604F09E7"/>
    <w:rsid w:val="608809AF"/>
    <w:rsid w:val="60AA72FA"/>
    <w:rsid w:val="60E6CC10"/>
    <w:rsid w:val="612A4050"/>
    <w:rsid w:val="612FF3EF"/>
    <w:rsid w:val="61504A17"/>
    <w:rsid w:val="61786AEE"/>
    <w:rsid w:val="61A235D4"/>
    <w:rsid w:val="61BA27D8"/>
    <w:rsid w:val="61FD424F"/>
    <w:rsid w:val="6236149C"/>
    <w:rsid w:val="627123BF"/>
    <w:rsid w:val="62966DA1"/>
    <w:rsid w:val="629848C7"/>
    <w:rsid w:val="62B06BE6"/>
    <w:rsid w:val="62BEF77D"/>
    <w:rsid w:val="630E4B89"/>
    <w:rsid w:val="63175732"/>
    <w:rsid w:val="631E435E"/>
    <w:rsid w:val="635E94EC"/>
    <w:rsid w:val="63833110"/>
    <w:rsid w:val="6388493C"/>
    <w:rsid w:val="639F61EE"/>
    <w:rsid w:val="63AB85B5"/>
    <w:rsid w:val="63BFA4BB"/>
    <w:rsid w:val="63CA08DB"/>
    <w:rsid w:val="63CFBA49"/>
    <w:rsid w:val="63D5D136"/>
    <w:rsid w:val="63F6520B"/>
    <w:rsid w:val="63FB3683"/>
    <w:rsid w:val="63FC5739"/>
    <w:rsid w:val="63FFED0D"/>
    <w:rsid w:val="64027FE5"/>
    <w:rsid w:val="640B10C9"/>
    <w:rsid w:val="64570A13"/>
    <w:rsid w:val="64607667"/>
    <w:rsid w:val="646E3A35"/>
    <w:rsid w:val="64754794"/>
    <w:rsid w:val="64768615"/>
    <w:rsid w:val="64846D27"/>
    <w:rsid w:val="64927435"/>
    <w:rsid w:val="649E4FA9"/>
    <w:rsid w:val="649F6A3F"/>
    <w:rsid w:val="64BF2F8A"/>
    <w:rsid w:val="64BF33A6"/>
    <w:rsid w:val="64DB496C"/>
    <w:rsid w:val="64F820F3"/>
    <w:rsid w:val="64FF10B7"/>
    <w:rsid w:val="65035A19"/>
    <w:rsid w:val="65047D7F"/>
    <w:rsid w:val="65167D25"/>
    <w:rsid w:val="65599768"/>
    <w:rsid w:val="65A61137"/>
    <w:rsid w:val="65AEE287"/>
    <w:rsid w:val="65DE3F85"/>
    <w:rsid w:val="65EFD7F4"/>
    <w:rsid w:val="65F5FF36"/>
    <w:rsid w:val="65FAB56A"/>
    <w:rsid w:val="65FFCDA9"/>
    <w:rsid w:val="65FFF0E7"/>
    <w:rsid w:val="660C7FDF"/>
    <w:rsid w:val="662F587C"/>
    <w:rsid w:val="665EE4F2"/>
    <w:rsid w:val="66772B01"/>
    <w:rsid w:val="6680453D"/>
    <w:rsid w:val="66D0D9B2"/>
    <w:rsid w:val="66D85AA8"/>
    <w:rsid w:val="66DF9B95"/>
    <w:rsid w:val="66E38B8B"/>
    <w:rsid w:val="66ED20D8"/>
    <w:rsid w:val="66F92033"/>
    <w:rsid w:val="66FBF7CB"/>
    <w:rsid w:val="66FE0745"/>
    <w:rsid w:val="66FF5D0E"/>
    <w:rsid w:val="6703252B"/>
    <w:rsid w:val="671B1587"/>
    <w:rsid w:val="674747DE"/>
    <w:rsid w:val="676BACED"/>
    <w:rsid w:val="676F97BA"/>
    <w:rsid w:val="676FD68B"/>
    <w:rsid w:val="67779AF8"/>
    <w:rsid w:val="6777DDCF"/>
    <w:rsid w:val="677B7D68"/>
    <w:rsid w:val="677D30AE"/>
    <w:rsid w:val="677FDECD"/>
    <w:rsid w:val="6793A610"/>
    <w:rsid w:val="67A6CD0E"/>
    <w:rsid w:val="67ADBA08"/>
    <w:rsid w:val="67AF9AC1"/>
    <w:rsid w:val="67B807A4"/>
    <w:rsid w:val="67BBCD4F"/>
    <w:rsid w:val="67BCD31A"/>
    <w:rsid w:val="67BE460D"/>
    <w:rsid w:val="67BF2154"/>
    <w:rsid w:val="67C519F9"/>
    <w:rsid w:val="67C7EC08"/>
    <w:rsid w:val="67CD2E20"/>
    <w:rsid w:val="67CEE835"/>
    <w:rsid w:val="67D50763"/>
    <w:rsid w:val="67DA8728"/>
    <w:rsid w:val="67DFDFBA"/>
    <w:rsid w:val="67EC0A8E"/>
    <w:rsid w:val="67ED89E1"/>
    <w:rsid w:val="67EFF243"/>
    <w:rsid w:val="67F6F90B"/>
    <w:rsid w:val="67F74D97"/>
    <w:rsid w:val="67FAEEA3"/>
    <w:rsid w:val="67FAF135"/>
    <w:rsid w:val="67FB549E"/>
    <w:rsid w:val="67FB77A6"/>
    <w:rsid w:val="67FBE00B"/>
    <w:rsid w:val="67FBE1DC"/>
    <w:rsid w:val="67FD2F3C"/>
    <w:rsid w:val="67FDFA4B"/>
    <w:rsid w:val="67FE4494"/>
    <w:rsid w:val="67FED5EF"/>
    <w:rsid w:val="67FF2493"/>
    <w:rsid w:val="67FF5DF7"/>
    <w:rsid w:val="67FF738D"/>
    <w:rsid w:val="67FFBF5C"/>
    <w:rsid w:val="67FFD0FC"/>
    <w:rsid w:val="67FFE5C9"/>
    <w:rsid w:val="6865355E"/>
    <w:rsid w:val="68AAC430"/>
    <w:rsid w:val="68BB9952"/>
    <w:rsid w:val="68BF5C2B"/>
    <w:rsid w:val="68BFB1F5"/>
    <w:rsid w:val="68DF7DB6"/>
    <w:rsid w:val="68EE1DA2"/>
    <w:rsid w:val="6902075B"/>
    <w:rsid w:val="69192B53"/>
    <w:rsid w:val="691B590A"/>
    <w:rsid w:val="696C6D3A"/>
    <w:rsid w:val="696FF857"/>
    <w:rsid w:val="6973CFB7"/>
    <w:rsid w:val="697A2924"/>
    <w:rsid w:val="697B55F5"/>
    <w:rsid w:val="699B2EEF"/>
    <w:rsid w:val="699FBB11"/>
    <w:rsid w:val="69BAC675"/>
    <w:rsid w:val="69BE42C8"/>
    <w:rsid w:val="69EC374B"/>
    <w:rsid w:val="69EDC553"/>
    <w:rsid w:val="69F724AF"/>
    <w:rsid w:val="69FF87FD"/>
    <w:rsid w:val="6A0B5E78"/>
    <w:rsid w:val="6A3816C1"/>
    <w:rsid w:val="6A435FF0"/>
    <w:rsid w:val="6A4DFCD5"/>
    <w:rsid w:val="6A75C937"/>
    <w:rsid w:val="6A7E642E"/>
    <w:rsid w:val="6A877333"/>
    <w:rsid w:val="6AB31A13"/>
    <w:rsid w:val="6AB720B5"/>
    <w:rsid w:val="6ABDCB55"/>
    <w:rsid w:val="6ACA7F58"/>
    <w:rsid w:val="6AE77DD5"/>
    <w:rsid w:val="6AEF6A08"/>
    <w:rsid w:val="6AF77A9D"/>
    <w:rsid w:val="6AFB9086"/>
    <w:rsid w:val="6AFDF707"/>
    <w:rsid w:val="6AFF5458"/>
    <w:rsid w:val="6AFF7173"/>
    <w:rsid w:val="6B1B5864"/>
    <w:rsid w:val="6B3D0407"/>
    <w:rsid w:val="6B57CAB5"/>
    <w:rsid w:val="6B6B1F55"/>
    <w:rsid w:val="6B6B55CD"/>
    <w:rsid w:val="6B6D73C7"/>
    <w:rsid w:val="6B79669A"/>
    <w:rsid w:val="6B7A3B7C"/>
    <w:rsid w:val="6B7F7B2E"/>
    <w:rsid w:val="6B814558"/>
    <w:rsid w:val="6B9879E4"/>
    <w:rsid w:val="6BAF5207"/>
    <w:rsid w:val="6BAF573D"/>
    <w:rsid w:val="6BB36CDE"/>
    <w:rsid w:val="6BBEE724"/>
    <w:rsid w:val="6BBF2C6F"/>
    <w:rsid w:val="6BCBD57E"/>
    <w:rsid w:val="6BCDB6E4"/>
    <w:rsid w:val="6BCFF374"/>
    <w:rsid w:val="6BDA12E7"/>
    <w:rsid w:val="6BDBDAF1"/>
    <w:rsid w:val="6BDBDBAD"/>
    <w:rsid w:val="6BDD57B9"/>
    <w:rsid w:val="6BDE6392"/>
    <w:rsid w:val="6BE8A772"/>
    <w:rsid w:val="6BEB4F70"/>
    <w:rsid w:val="6BEFDFFD"/>
    <w:rsid w:val="6BF27D74"/>
    <w:rsid w:val="6BF70E20"/>
    <w:rsid w:val="6BF7D9C0"/>
    <w:rsid w:val="6BF910C6"/>
    <w:rsid w:val="6BF98FB6"/>
    <w:rsid w:val="6BFB6329"/>
    <w:rsid w:val="6BFBC042"/>
    <w:rsid w:val="6BFD5DD4"/>
    <w:rsid w:val="6BFD68D8"/>
    <w:rsid w:val="6BFEA6B7"/>
    <w:rsid w:val="6C1A459F"/>
    <w:rsid w:val="6C260C93"/>
    <w:rsid w:val="6C3702BF"/>
    <w:rsid w:val="6C3E76EF"/>
    <w:rsid w:val="6C4C227F"/>
    <w:rsid w:val="6C557385"/>
    <w:rsid w:val="6C67083F"/>
    <w:rsid w:val="6C6744DD"/>
    <w:rsid w:val="6C7820AE"/>
    <w:rsid w:val="6C8DA4CE"/>
    <w:rsid w:val="6CABB5AC"/>
    <w:rsid w:val="6CBF7BC9"/>
    <w:rsid w:val="6CDE0ACD"/>
    <w:rsid w:val="6CED82FB"/>
    <w:rsid w:val="6CFECDC8"/>
    <w:rsid w:val="6CFF1408"/>
    <w:rsid w:val="6D1F34C1"/>
    <w:rsid w:val="6D2F9CB5"/>
    <w:rsid w:val="6D386718"/>
    <w:rsid w:val="6D3BA3B3"/>
    <w:rsid w:val="6D3D5F38"/>
    <w:rsid w:val="6D3F7525"/>
    <w:rsid w:val="6D631775"/>
    <w:rsid w:val="6D6DC858"/>
    <w:rsid w:val="6D7DC942"/>
    <w:rsid w:val="6D7E584D"/>
    <w:rsid w:val="6D800726"/>
    <w:rsid w:val="6D8141AA"/>
    <w:rsid w:val="6DBBFFAF"/>
    <w:rsid w:val="6DBD7DC2"/>
    <w:rsid w:val="6DCF1D04"/>
    <w:rsid w:val="6DD112E4"/>
    <w:rsid w:val="6DD1DAD2"/>
    <w:rsid w:val="6DD3D13E"/>
    <w:rsid w:val="6DDA4587"/>
    <w:rsid w:val="6DDB22A7"/>
    <w:rsid w:val="6DDF43EC"/>
    <w:rsid w:val="6DDFD866"/>
    <w:rsid w:val="6DE30E7D"/>
    <w:rsid w:val="6DEBDF9B"/>
    <w:rsid w:val="6DED5BBD"/>
    <w:rsid w:val="6DEDF01A"/>
    <w:rsid w:val="6DEEFDFE"/>
    <w:rsid w:val="6DEF1688"/>
    <w:rsid w:val="6DEFB302"/>
    <w:rsid w:val="6DF74CE4"/>
    <w:rsid w:val="6DF77EEA"/>
    <w:rsid w:val="6DF7EDD5"/>
    <w:rsid w:val="6DF7F9AD"/>
    <w:rsid w:val="6DF9ADE3"/>
    <w:rsid w:val="6DFB19EA"/>
    <w:rsid w:val="6DFBE1E8"/>
    <w:rsid w:val="6DFD9B62"/>
    <w:rsid w:val="6DFDFC78"/>
    <w:rsid w:val="6DFE3FD3"/>
    <w:rsid w:val="6DFE8022"/>
    <w:rsid w:val="6DFF030F"/>
    <w:rsid w:val="6DFF06B1"/>
    <w:rsid w:val="6DFF0EF1"/>
    <w:rsid w:val="6DFF12F0"/>
    <w:rsid w:val="6DFF3614"/>
    <w:rsid w:val="6DFF3989"/>
    <w:rsid w:val="6DFF4A42"/>
    <w:rsid w:val="6DFFC375"/>
    <w:rsid w:val="6DFFE4DD"/>
    <w:rsid w:val="6E012965"/>
    <w:rsid w:val="6E0B8EE4"/>
    <w:rsid w:val="6E0BF42E"/>
    <w:rsid w:val="6E1D54AA"/>
    <w:rsid w:val="6E24F6C9"/>
    <w:rsid w:val="6E3E57D5"/>
    <w:rsid w:val="6E3FC2FC"/>
    <w:rsid w:val="6E5B6266"/>
    <w:rsid w:val="6E5DE2A2"/>
    <w:rsid w:val="6E5FFFA4"/>
    <w:rsid w:val="6E64C5ED"/>
    <w:rsid w:val="6E6715F2"/>
    <w:rsid w:val="6E6A2FE6"/>
    <w:rsid w:val="6E75F520"/>
    <w:rsid w:val="6E77D433"/>
    <w:rsid w:val="6E7F2B98"/>
    <w:rsid w:val="6E8A2A54"/>
    <w:rsid w:val="6E8C2E06"/>
    <w:rsid w:val="6E9F762C"/>
    <w:rsid w:val="6EAF02DA"/>
    <w:rsid w:val="6EB6993C"/>
    <w:rsid w:val="6EBC84B8"/>
    <w:rsid w:val="6EBD1720"/>
    <w:rsid w:val="6EBF6452"/>
    <w:rsid w:val="6ECD6A0C"/>
    <w:rsid w:val="6ED3F31A"/>
    <w:rsid w:val="6ED706D8"/>
    <w:rsid w:val="6EDD3E58"/>
    <w:rsid w:val="6EDEA602"/>
    <w:rsid w:val="6EDF097E"/>
    <w:rsid w:val="6EDF7624"/>
    <w:rsid w:val="6EDFF40B"/>
    <w:rsid w:val="6EE134B1"/>
    <w:rsid w:val="6EE7BA2B"/>
    <w:rsid w:val="6EEB1358"/>
    <w:rsid w:val="6EEB8D89"/>
    <w:rsid w:val="6EEFA0C3"/>
    <w:rsid w:val="6EF56616"/>
    <w:rsid w:val="6EF94940"/>
    <w:rsid w:val="6EF9D972"/>
    <w:rsid w:val="6EFE004A"/>
    <w:rsid w:val="6EFF109F"/>
    <w:rsid w:val="6EFF281C"/>
    <w:rsid w:val="6EFF887A"/>
    <w:rsid w:val="6EFFD1DE"/>
    <w:rsid w:val="6F093F6D"/>
    <w:rsid w:val="6F1277AF"/>
    <w:rsid w:val="6F15104E"/>
    <w:rsid w:val="6F1FD7DD"/>
    <w:rsid w:val="6F2DAFA8"/>
    <w:rsid w:val="6F2F3052"/>
    <w:rsid w:val="6F310216"/>
    <w:rsid w:val="6F35DB43"/>
    <w:rsid w:val="6F39C44C"/>
    <w:rsid w:val="6F3BD670"/>
    <w:rsid w:val="6F3DDF92"/>
    <w:rsid w:val="6F3F928F"/>
    <w:rsid w:val="6F5A0792"/>
    <w:rsid w:val="6F5F3C5D"/>
    <w:rsid w:val="6F5F76E7"/>
    <w:rsid w:val="6F5FA327"/>
    <w:rsid w:val="6F613003"/>
    <w:rsid w:val="6F69C303"/>
    <w:rsid w:val="6F6CF7F6"/>
    <w:rsid w:val="6F6FE32B"/>
    <w:rsid w:val="6F754B14"/>
    <w:rsid w:val="6F78EC7A"/>
    <w:rsid w:val="6F7B4C5F"/>
    <w:rsid w:val="6F7BBE40"/>
    <w:rsid w:val="6F7BC066"/>
    <w:rsid w:val="6F7E0265"/>
    <w:rsid w:val="6F7E60E3"/>
    <w:rsid w:val="6F7F56BB"/>
    <w:rsid w:val="6F7FB441"/>
    <w:rsid w:val="6F7FC1F3"/>
    <w:rsid w:val="6F8FFADE"/>
    <w:rsid w:val="6F951E56"/>
    <w:rsid w:val="6F9E4D9B"/>
    <w:rsid w:val="6F9F2A3E"/>
    <w:rsid w:val="6FACD758"/>
    <w:rsid w:val="6FAFA8CD"/>
    <w:rsid w:val="6FAFA937"/>
    <w:rsid w:val="6FB50F8B"/>
    <w:rsid w:val="6FB54891"/>
    <w:rsid w:val="6FB6CF62"/>
    <w:rsid w:val="6FB70549"/>
    <w:rsid w:val="6FB72193"/>
    <w:rsid w:val="6FB917B8"/>
    <w:rsid w:val="6FBA2D0A"/>
    <w:rsid w:val="6FBB1D09"/>
    <w:rsid w:val="6FBB40BD"/>
    <w:rsid w:val="6FBCD3B5"/>
    <w:rsid w:val="6FBEE41C"/>
    <w:rsid w:val="6FBF29B8"/>
    <w:rsid w:val="6FBF3E2D"/>
    <w:rsid w:val="6FBF6238"/>
    <w:rsid w:val="6FBF7319"/>
    <w:rsid w:val="6FBFB7D2"/>
    <w:rsid w:val="6FBFBDA4"/>
    <w:rsid w:val="6FC94C3D"/>
    <w:rsid w:val="6FC9AE21"/>
    <w:rsid w:val="6FCB6AFA"/>
    <w:rsid w:val="6FCB731F"/>
    <w:rsid w:val="6FCDA211"/>
    <w:rsid w:val="6FCFA5C5"/>
    <w:rsid w:val="6FD0154C"/>
    <w:rsid w:val="6FD298A8"/>
    <w:rsid w:val="6FD2DD64"/>
    <w:rsid w:val="6FD3DCDD"/>
    <w:rsid w:val="6FDB13CA"/>
    <w:rsid w:val="6FDB517F"/>
    <w:rsid w:val="6FDB57E4"/>
    <w:rsid w:val="6FDBE839"/>
    <w:rsid w:val="6FDD1F33"/>
    <w:rsid w:val="6FDE4072"/>
    <w:rsid w:val="6FDE61D7"/>
    <w:rsid w:val="6FDFCE5D"/>
    <w:rsid w:val="6FDFDABC"/>
    <w:rsid w:val="6FDFE4E4"/>
    <w:rsid w:val="6FDFEBBE"/>
    <w:rsid w:val="6FE149E9"/>
    <w:rsid w:val="6FE77AAE"/>
    <w:rsid w:val="6FEA29D0"/>
    <w:rsid w:val="6FED1C83"/>
    <w:rsid w:val="6FEDC114"/>
    <w:rsid w:val="6FEF040D"/>
    <w:rsid w:val="6FEF510A"/>
    <w:rsid w:val="6FEFD674"/>
    <w:rsid w:val="6FF1E2B1"/>
    <w:rsid w:val="6FF333C2"/>
    <w:rsid w:val="6FF3B890"/>
    <w:rsid w:val="6FF66E0E"/>
    <w:rsid w:val="6FF873D8"/>
    <w:rsid w:val="6FF8E722"/>
    <w:rsid w:val="6FF92941"/>
    <w:rsid w:val="6FF94FC9"/>
    <w:rsid w:val="6FFA5A15"/>
    <w:rsid w:val="6FFA9484"/>
    <w:rsid w:val="6FFAAB88"/>
    <w:rsid w:val="6FFB0AC5"/>
    <w:rsid w:val="6FFB2576"/>
    <w:rsid w:val="6FFB714F"/>
    <w:rsid w:val="6FFBAB7B"/>
    <w:rsid w:val="6FFBB82F"/>
    <w:rsid w:val="6FFBD09A"/>
    <w:rsid w:val="6FFD2259"/>
    <w:rsid w:val="6FFD2C28"/>
    <w:rsid w:val="6FFD3A15"/>
    <w:rsid w:val="6FFD3D76"/>
    <w:rsid w:val="6FFD4FCD"/>
    <w:rsid w:val="6FFDF2DC"/>
    <w:rsid w:val="6FFE924A"/>
    <w:rsid w:val="6FFF0A77"/>
    <w:rsid w:val="6FFF2E57"/>
    <w:rsid w:val="6FFF3F1C"/>
    <w:rsid w:val="6FFF7D8B"/>
    <w:rsid w:val="6FFF89F8"/>
    <w:rsid w:val="6FFF8C93"/>
    <w:rsid w:val="6FFFBFBD"/>
    <w:rsid w:val="6FFFF330"/>
    <w:rsid w:val="6FFFF462"/>
    <w:rsid w:val="70211A29"/>
    <w:rsid w:val="70495453"/>
    <w:rsid w:val="707DF166"/>
    <w:rsid w:val="70875F7B"/>
    <w:rsid w:val="708D9AD6"/>
    <w:rsid w:val="70BE84F9"/>
    <w:rsid w:val="70D76DFE"/>
    <w:rsid w:val="70E46F2A"/>
    <w:rsid w:val="71051DFA"/>
    <w:rsid w:val="713CFED9"/>
    <w:rsid w:val="71722787"/>
    <w:rsid w:val="717B3ECA"/>
    <w:rsid w:val="717C6C3D"/>
    <w:rsid w:val="717E146D"/>
    <w:rsid w:val="71924A6B"/>
    <w:rsid w:val="71CDB289"/>
    <w:rsid w:val="71FBF2DF"/>
    <w:rsid w:val="71FF7F21"/>
    <w:rsid w:val="720BF499"/>
    <w:rsid w:val="72272B5E"/>
    <w:rsid w:val="7242215A"/>
    <w:rsid w:val="72435ED2"/>
    <w:rsid w:val="727C7617"/>
    <w:rsid w:val="728110FC"/>
    <w:rsid w:val="72A94121"/>
    <w:rsid w:val="72B02CDD"/>
    <w:rsid w:val="72CE5EF4"/>
    <w:rsid w:val="72E7E425"/>
    <w:rsid w:val="72F45604"/>
    <w:rsid w:val="72F7544D"/>
    <w:rsid w:val="72FB3F9F"/>
    <w:rsid w:val="72FF9BEB"/>
    <w:rsid w:val="72FF9EE3"/>
    <w:rsid w:val="731D9EA9"/>
    <w:rsid w:val="73326A4A"/>
    <w:rsid w:val="733F2C81"/>
    <w:rsid w:val="73590450"/>
    <w:rsid w:val="73661A3C"/>
    <w:rsid w:val="7371732A"/>
    <w:rsid w:val="73727FB6"/>
    <w:rsid w:val="73750AD2"/>
    <w:rsid w:val="737A8451"/>
    <w:rsid w:val="737B7D4B"/>
    <w:rsid w:val="737DBEF6"/>
    <w:rsid w:val="737E8224"/>
    <w:rsid w:val="737F6B29"/>
    <w:rsid w:val="737F71B4"/>
    <w:rsid w:val="738A200A"/>
    <w:rsid w:val="739FBB23"/>
    <w:rsid w:val="73A776A3"/>
    <w:rsid w:val="73AD3333"/>
    <w:rsid w:val="73AECD4B"/>
    <w:rsid w:val="73B68EED"/>
    <w:rsid w:val="73BDF9C6"/>
    <w:rsid w:val="73BE3A62"/>
    <w:rsid w:val="73BF7FA5"/>
    <w:rsid w:val="73BFD6C2"/>
    <w:rsid w:val="73CDB2D7"/>
    <w:rsid w:val="73CFEE60"/>
    <w:rsid w:val="73D63678"/>
    <w:rsid w:val="73DD28AF"/>
    <w:rsid w:val="73E77051"/>
    <w:rsid w:val="73EF08B8"/>
    <w:rsid w:val="73F0360B"/>
    <w:rsid w:val="73F366C2"/>
    <w:rsid w:val="73F91825"/>
    <w:rsid w:val="73F94A0F"/>
    <w:rsid w:val="73FAA6E2"/>
    <w:rsid w:val="73FB7284"/>
    <w:rsid w:val="73FBCA9D"/>
    <w:rsid w:val="73FD9648"/>
    <w:rsid w:val="73FE6ADB"/>
    <w:rsid w:val="73FF18B2"/>
    <w:rsid w:val="73FF21D5"/>
    <w:rsid w:val="73FF7889"/>
    <w:rsid w:val="74342B7E"/>
    <w:rsid w:val="74563C7D"/>
    <w:rsid w:val="7477F899"/>
    <w:rsid w:val="747C4132"/>
    <w:rsid w:val="747FF3FC"/>
    <w:rsid w:val="748367FA"/>
    <w:rsid w:val="748E5B2A"/>
    <w:rsid w:val="74B23E9F"/>
    <w:rsid w:val="74B73A89"/>
    <w:rsid w:val="74BD74AD"/>
    <w:rsid w:val="74C432FA"/>
    <w:rsid w:val="74D9B606"/>
    <w:rsid w:val="74DAD3AD"/>
    <w:rsid w:val="74DF6E9D"/>
    <w:rsid w:val="74E0571E"/>
    <w:rsid w:val="74EA0887"/>
    <w:rsid w:val="74EB4066"/>
    <w:rsid w:val="74F2A917"/>
    <w:rsid w:val="74FB4400"/>
    <w:rsid w:val="74FD24B3"/>
    <w:rsid w:val="74FD3F91"/>
    <w:rsid w:val="751A1558"/>
    <w:rsid w:val="751F3359"/>
    <w:rsid w:val="752332CE"/>
    <w:rsid w:val="752D01F3"/>
    <w:rsid w:val="753FE3EB"/>
    <w:rsid w:val="75453652"/>
    <w:rsid w:val="754F8B30"/>
    <w:rsid w:val="755328D0"/>
    <w:rsid w:val="75558172"/>
    <w:rsid w:val="7555CC3B"/>
    <w:rsid w:val="75573DDF"/>
    <w:rsid w:val="755DE115"/>
    <w:rsid w:val="757188F0"/>
    <w:rsid w:val="7572236F"/>
    <w:rsid w:val="7575FCEA"/>
    <w:rsid w:val="7577E2F1"/>
    <w:rsid w:val="7578F0C5"/>
    <w:rsid w:val="757BE49A"/>
    <w:rsid w:val="757C3270"/>
    <w:rsid w:val="757F63B1"/>
    <w:rsid w:val="7595548D"/>
    <w:rsid w:val="75BA702C"/>
    <w:rsid w:val="75C94940"/>
    <w:rsid w:val="75CD7213"/>
    <w:rsid w:val="75CF20E7"/>
    <w:rsid w:val="75CFE36E"/>
    <w:rsid w:val="75D51537"/>
    <w:rsid w:val="75DA876E"/>
    <w:rsid w:val="75DF024C"/>
    <w:rsid w:val="75DF680E"/>
    <w:rsid w:val="75DF6BC1"/>
    <w:rsid w:val="75DF7318"/>
    <w:rsid w:val="75DFDE5C"/>
    <w:rsid w:val="75E7CE80"/>
    <w:rsid w:val="75EF16AE"/>
    <w:rsid w:val="75F57CFD"/>
    <w:rsid w:val="75F7AD6B"/>
    <w:rsid w:val="75F872A5"/>
    <w:rsid w:val="75F9E535"/>
    <w:rsid w:val="75FB44D1"/>
    <w:rsid w:val="75FBF5DB"/>
    <w:rsid w:val="75FC3BA2"/>
    <w:rsid w:val="75FD73A4"/>
    <w:rsid w:val="75FEEB12"/>
    <w:rsid w:val="75FF0FD7"/>
    <w:rsid w:val="75FF190C"/>
    <w:rsid w:val="75FF3F72"/>
    <w:rsid w:val="75FF5618"/>
    <w:rsid w:val="75FF617D"/>
    <w:rsid w:val="760140DA"/>
    <w:rsid w:val="76295127"/>
    <w:rsid w:val="763F7580"/>
    <w:rsid w:val="764F46F7"/>
    <w:rsid w:val="765B5085"/>
    <w:rsid w:val="766769C9"/>
    <w:rsid w:val="766E9935"/>
    <w:rsid w:val="76774B2F"/>
    <w:rsid w:val="7679CE88"/>
    <w:rsid w:val="767B87DB"/>
    <w:rsid w:val="767E6EE1"/>
    <w:rsid w:val="76973451"/>
    <w:rsid w:val="769B48B8"/>
    <w:rsid w:val="769E82E4"/>
    <w:rsid w:val="769F3A6B"/>
    <w:rsid w:val="76AE6E44"/>
    <w:rsid w:val="76B3A831"/>
    <w:rsid w:val="76B3EEEA"/>
    <w:rsid w:val="76B7A520"/>
    <w:rsid w:val="76B9F515"/>
    <w:rsid w:val="76BF27C9"/>
    <w:rsid w:val="76BF3C3B"/>
    <w:rsid w:val="76D617B0"/>
    <w:rsid w:val="76D6EFF0"/>
    <w:rsid w:val="76DD3548"/>
    <w:rsid w:val="76DF3668"/>
    <w:rsid w:val="76DFE4CB"/>
    <w:rsid w:val="76E711F2"/>
    <w:rsid w:val="76E9EB27"/>
    <w:rsid w:val="76EA7919"/>
    <w:rsid w:val="76F2F12A"/>
    <w:rsid w:val="76F47601"/>
    <w:rsid w:val="76F5061F"/>
    <w:rsid w:val="76F54707"/>
    <w:rsid w:val="76FD5674"/>
    <w:rsid w:val="76FD6236"/>
    <w:rsid w:val="76FDD468"/>
    <w:rsid w:val="76FEEE0C"/>
    <w:rsid w:val="76FF2749"/>
    <w:rsid w:val="76FF5AC1"/>
    <w:rsid w:val="76FFD8D0"/>
    <w:rsid w:val="76FFF8B8"/>
    <w:rsid w:val="771D6F55"/>
    <w:rsid w:val="772DE5A7"/>
    <w:rsid w:val="773547A7"/>
    <w:rsid w:val="7735863A"/>
    <w:rsid w:val="773DCCF2"/>
    <w:rsid w:val="773E820A"/>
    <w:rsid w:val="773F7FFA"/>
    <w:rsid w:val="773FE1A2"/>
    <w:rsid w:val="7747AB0D"/>
    <w:rsid w:val="774B6C50"/>
    <w:rsid w:val="774C1225"/>
    <w:rsid w:val="7755CEE6"/>
    <w:rsid w:val="77562A70"/>
    <w:rsid w:val="775722B7"/>
    <w:rsid w:val="775D60BE"/>
    <w:rsid w:val="77724180"/>
    <w:rsid w:val="77763711"/>
    <w:rsid w:val="77778DDA"/>
    <w:rsid w:val="7777BFB6"/>
    <w:rsid w:val="77793430"/>
    <w:rsid w:val="777ABFF3"/>
    <w:rsid w:val="777C4BA9"/>
    <w:rsid w:val="777D0486"/>
    <w:rsid w:val="777D0D16"/>
    <w:rsid w:val="777E1519"/>
    <w:rsid w:val="777EFB8E"/>
    <w:rsid w:val="777F8073"/>
    <w:rsid w:val="777FB412"/>
    <w:rsid w:val="77866257"/>
    <w:rsid w:val="779B4347"/>
    <w:rsid w:val="779B5B07"/>
    <w:rsid w:val="779E903C"/>
    <w:rsid w:val="77AC70AB"/>
    <w:rsid w:val="77AE9644"/>
    <w:rsid w:val="77AFD19C"/>
    <w:rsid w:val="77B55719"/>
    <w:rsid w:val="77B6DE76"/>
    <w:rsid w:val="77B73069"/>
    <w:rsid w:val="77BA62AB"/>
    <w:rsid w:val="77BBEC0D"/>
    <w:rsid w:val="77BDF6C1"/>
    <w:rsid w:val="77BE699F"/>
    <w:rsid w:val="77BEBE46"/>
    <w:rsid w:val="77BF100E"/>
    <w:rsid w:val="77BFB95F"/>
    <w:rsid w:val="77C6EEC2"/>
    <w:rsid w:val="77C76AD7"/>
    <w:rsid w:val="77CE7E49"/>
    <w:rsid w:val="77D56026"/>
    <w:rsid w:val="77D5AAD0"/>
    <w:rsid w:val="77D65A1A"/>
    <w:rsid w:val="77D7BC72"/>
    <w:rsid w:val="77D94396"/>
    <w:rsid w:val="77D9C3B7"/>
    <w:rsid w:val="77DB930D"/>
    <w:rsid w:val="77DB96F3"/>
    <w:rsid w:val="77DBCB8B"/>
    <w:rsid w:val="77DECAC5"/>
    <w:rsid w:val="77DF2E51"/>
    <w:rsid w:val="77DF460A"/>
    <w:rsid w:val="77DFC492"/>
    <w:rsid w:val="77DFED12"/>
    <w:rsid w:val="77E3B321"/>
    <w:rsid w:val="77E6B348"/>
    <w:rsid w:val="77E78462"/>
    <w:rsid w:val="77E7CC33"/>
    <w:rsid w:val="77E95E6D"/>
    <w:rsid w:val="77EB2D21"/>
    <w:rsid w:val="77EDBB09"/>
    <w:rsid w:val="77EDEC63"/>
    <w:rsid w:val="77EF3CB3"/>
    <w:rsid w:val="77EF61BB"/>
    <w:rsid w:val="77EF6693"/>
    <w:rsid w:val="77EF6D78"/>
    <w:rsid w:val="77EFEC75"/>
    <w:rsid w:val="77F3422C"/>
    <w:rsid w:val="77F3EEFA"/>
    <w:rsid w:val="77F5FCF2"/>
    <w:rsid w:val="77F73C7E"/>
    <w:rsid w:val="77F74765"/>
    <w:rsid w:val="77F7A737"/>
    <w:rsid w:val="77FB42C8"/>
    <w:rsid w:val="77FB8EDB"/>
    <w:rsid w:val="77FD2925"/>
    <w:rsid w:val="77FD3C18"/>
    <w:rsid w:val="77FD7A16"/>
    <w:rsid w:val="77FDDB44"/>
    <w:rsid w:val="77FDE831"/>
    <w:rsid w:val="77FE6E5B"/>
    <w:rsid w:val="77FE7C19"/>
    <w:rsid w:val="77FE9778"/>
    <w:rsid w:val="77FEB649"/>
    <w:rsid w:val="77FEEB69"/>
    <w:rsid w:val="77FF0C6B"/>
    <w:rsid w:val="77FF1436"/>
    <w:rsid w:val="77FF52B6"/>
    <w:rsid w:val="77FF5482"/>
    <w:rsid w:val="77FF5763"/>
    <w:rsid w:val="77FF616D"/>
    <w:rsid w:val="77FF8AB8"/>
    <w:rsid w:val="77FF9631"/>
    <w:rsid w:val="77FF9AC1"/>
    <w:rsid w:val="77FFAA5F"/>
    <w:rsid w:val="77FFAFC3"/>
    <w:rsid w:val="77FFDD59"/>
    <w:rsid w:val="77FFFC58"/>
    <w:rsid w:val="780D0F43"/>
    <w:rsid w:val="783B5DE1"/>
    <w:rsid w:val="7840538D"/>
    <w:rsid w:val="78430499"/>
    <w:rsid w:val="785B6054"/>
    <w:rsid w:val="786B0454"/>
    <w:rsid w:val="787BCF7D"/>
    <w:rsid w:val="78951904"/>
    <w:rsid w:val="7896206E"/>
    <w:rsid w:val="789D458E"/>
    <w:rsid w:val="78C9311B"/>
    <w:rsid w:val="78DB3308"/>
    <w:rsid w:val="78DFAD00"/>
    <w:rsid w:val="78E3674A"/>
    <w:rsid w:val="78E9452E"/>
    <w:rsid w:val="78EFA75B"/>
    <w:rsid w:val="78FF147E"/>
    <w:rsid w:val="7919EAA3"/>
    <w:rsid w:val="792FF67A"/>
    <w:rsid w:val="79312EDB"/>
    <w:rsid w:val="793940C4"/>
    <w:rsid w:val="797352EE"/>
    <w:rsid w:val="797F26DF"/>
    <w:rsid w:val="797FC8A9"/>
    <w:rsid w:val="799B59FA"/>
    <w:rsid w:val="79AD515A"/>
    <w:rsid w:val="79AFBFD8"/>
    <w:rsid w:val="79B766D6"/>
    <w:rsid w:val="79BB01D5"/>
    <w:rsid w:val="79BB141F"/>
    <w:rsid w:val="79BB3870"/>
    <w:rsid w:val="79BF3D40"/>
    <w:rsid w:val="79C5F6C9"/>
    <w:rsid w:val="79CDD895"/>
    <w:rsid w:val="79D5E216"/>
    <w:rsid w:val="79D5F9E9"/>
    <w:rsid w:val="79DB5CE2"/>
    <w:rsid w:val="79DB686F"/>
    <w:rsid w:val="79DFF591"/>
    <w:rsid w:val="79EB46B4"/>
    <w:rsid w:val="79EB5DD7"/>
    <w:rsid w:val="79EB7E4A"/>
    <w:rsid w:val="79EE6FBE"/>
    <w:rsid w:val="79EF0422"/>
    <w:rsid w:val="79EF4DBB"/>
    <w:rsid w:val="79EFA166"/>
    <w:rsid w:val="79F63AF9"/>
    <w:rsid w:val="79F91E21"/>
    <w:rsid w:val="79FABB3E"/>
    <w:rsid w:val="79FB5B27"/>
    <w:rsid w:val="79FCC066"/>
    <w:rsid w:val="79FD04D0"/>
    <w:rsid w:val="79FD456A"/>
    <w:rsid w:val="79FF3C2C"/>
    <w:rsid w:val="79FF4818"/>
    <w:rsid w:val="79FF73FB"/>
    <w:rsid w:val="79FF9F4F"/>
    <w:rsid w:val="79FFB220"/>
    <w:rsid w:val="79FFB6FF"/>
    <w:rsid w:val="7A1C14E2"/>
    <w:rsid w:val="7A28257D"/>
    <w:rsid w:val="7A3F63FD"/>
    <w:rsid w:val="7A3F712D"/>
    <w:rsid w:val="7A4DFACB"/>
    <w:rsid w:val="7A6F7FC7"/>
    <w:rsid w:val="7A733959"/>
    <w:rsid w:val="7A7BA68B"/>
    <w:rsid w:val="7A7F82CD"/>
    <w:rsid w:val="7A7FF342"/>
    <w:rsid w:val="7A874413"/>
    <w:rsid w:val="7AB7B6F8"/>
    <w:rsid w:val="7ABB2EA8"/>
    <w:rsid w:val="7ABD3900"/>
    <w:rsid w:val="7ABF144E"/>
    <w:rsid w:val="7ABF98FA"/>
    <w:rsid w:val="7ABFC905"/>
    <w:rsid w:val="7AC202DC"/>
    <w:rsid w:val="7AC2AAE3"/>
    <w:rsid w:val="7AD33018"/>
    <w:rsid w:val="7AD7CFAB"/>
    <w:rsid w:val="7ADEB7E1"/>
    <w:rsid w:val="7ADF3AE0"/>
    <w:rsid w:val="7AE39256"/>
    <w:rsid w:val="7AE812EB"/>
    <w:rsid w:val="7AEBA5BE"/>
    <w:rsid w:val="7AEBFF65"/>
    <w:rsid w:val="7AEC35AA"/>
    <w:rsid w:val="7AEC42F1"/>
    <w:rsid w:val="7AED3DF4"/>
    <w:rsid w:val="7AEE042A"/>
    <w:rsid w:val="7AF7623C"/>
    <w:rsid w:val="7AF7AD9A"/>
    <w:rsid w:val="7AFB92F1"/>
    <w:rsid w:val="7AFD01C1"/>
    <w:rsid w:val="7AFD1BF7"/>
    <w:rsid w:val="7AFD6364"/>
    <w:rsid w:val="7AFDCC82"/>
    <w:rsid w:val="7AFF5E2E"/>
    <w:rsid w:val="7AFF6002"/>
    <w:rsid w:val="7AFF762B"/>
    <w:rsid w:val="7AFF940D"/>
    <w:rsid w:val="7AFFBFFF"/>
    <w:rsid w:val="7AFFD5FA"/>
    <w:rsid w:val="7AFFF4A0"/>
    <w:rsid w:val="7B1F12EC"/>
    <w:rsid w:val="7B372808"/>
    <w:rsid w:val="7B3F1130"/>
    <w:rsid w:val="7B3FD6E1"/>
    <w:rsid w:val="7B47BF6B"/>
    <w:rsid w:val="7B4FEAD4"/>
    <w:rsid w:val="7B55BD18"/>
    <w:rsid w:val="7B5D2CDB"/>
    <w:rsid w:val="7B6B8A05"/>
    <w:rsid w:val="7B6BC546"/>
    <w:rsid w:val="7B6C82C5"/>
    <w:rsid w:val="7B6F8D10"/>
    <w:rsid w:val="7B7331C8"/>
    <w:rsid w:val="7B78C76B"/>
    <w:rsid w:val="7B7B3A1D"/>
    <w:rsid w:val="7B7B4EFB"/>
    <w:rsid w:val="7B7B75CB"/>
    <w:rsid w:val="7B7D5B94"/>
    <w:rsid w:val="7B7E2658"/>
    <w:rsid w:val="7B7EF74E"/>
    <w:rsid w:val="7B7F612D"/>
    <w:rsid w:val="7B7F899A"/>
    <w:rsid w:val="7B7FB2B4"/>
    <w:rsid w:val="7B7FB36E"/>
    <w:rsid w:val="7B875207"/>
    <w:rsid w:val="7B8B3CA5"/>
    <w:rsid w:val="7B95C905"/>
    <w:rsid w:val="7B9E638F"/>
    <w:rsid w:val="7B9F2071"/>
    <w:rsid w:val="7B9F7EF4"/>
    <w:rsid w:val="7B9F9EBC"/>
    <w:rsid w:val="7B9FED78"/>
    <w:rsid w:val="7BA36489"/>
    <w:rsid w:val="7BA42FF7"/>
    <w:rsid w:val="7BAF1877"/>
    <w:rsid w:val="7BAFA245"/>
    <w:rsid w:val="7BB1B584"/>
    <w:rsid w:val="7BB74A2F"/>
    <w:rsid w:val="7BB7B099"/>
    <w:rsid w:val="7BBB10FB"/>
    <w:rsid w:val="7BBB6EBD"/>
    <w:rsid w:val="7BBB9BE2"/>
    <w:rsid w:val="7BBBFAE5"/>
    <w:rsid w:val="7BBCBBB3"/>
    <w:rsid w:val="7BBD5A03"/>
    <w:rsid w:val="7BBE8032"/>
    <w:rsid w:val="7BBF0A3A"/>
    <w:rsid w:val="7BBF33B7"/>
    <w:rsid w:val="7BBF3959"/>
    <w:rsid w:val="7BBF8537"/>
    <w:rsid w:val="7BBFA322"/>
    <w:rsid w:val="7BBFE521"/>
    <w:rsid w:val="7BC63DFB"/>
    <w:rsid w:val="7BC75E88"/>
    <w:rsid w:val="7BC8A4C8"/>
    <w:rsid w:val="7BCD5308"/>
    <w:rsid w:val="7BCD8BA3"/>
    <w:rsid w:val="7BCDE3CC"/>
    <w:rsid w:val="7BCE57E0"/>
    <w:rsid w:val="7BCF0021"/>
    <w:rsid w:val="7BCFB4E2"/>
    <w:rsid w:val="7BCFFBD8"/>
    <w:rsid w:val="7BD007D6"/>
    <w:rsid w:val="7BD17CE6"/>
    <w:rsid w:val="7BD201FC"/>
    <w:rsid w:val="7BD6EF5A"/>
    <w:rsid w:val="7BD74EDB"/>
    <w:rsid w:val="7BD7512B"/>
    <w:rsid w:val="7BD76CA6"/>
    <w:rsid w:val="7BDAC4F4"/>
    <w:rsid w:val="7BDC0CAD"/>
    <w:rsid w:val="7BDCE777"/>
    <w:rsid w:val="7BDF2901"/>
    <w:rsid w:val="7BDF50CE"/>
    <w:rsid w:val="7BDF5E88"/>
    <w:rsid w:val="7BDF84C2"/>
    <w:rsid w:val="7BDFDBD4"/>
    <w:rsid w:val="7BDFFDE6"/>
    <w:rsid w:val="7BE598AA"/>
    <w:rsid w:val="7BE76557"/>
    <w:rsid w:val="7BE91F6C"/>
    <w:rsid w:val="7BEA9836"/>
    <w:rsid w:val="7BECA926"/>
    <w:rsid w:val="7BED719E"/>
    <w:rsid w:val="7BEE3978"/>
    <w:rsid w:val="7BEE8663"/>
    <w:rsid w:val="7BEF122F"/>
    <w:rsid w:val="7BEF29C1"/>
    <w:rsid w:val="7BEF6AE3"/>
    <w:rsid w:val="7BEF6E43"/>
    <w:rsid w:val="7BEFF00B"/>
    <w:rsid w:val="7BF2C72C"/>
    <w:rsid w:val="7BF39E0C"/>
    <w:rsid w:val="7BF3E052"/>
    <w:rsid w:val="7BF50E5E"/>
    <w:rsid w:val="7BF614BC"/>
    <w:rsid w:val="7BF69DD0"/>
    <w:rsid w:val="7BF711C4"/>
    <w:rsid w:val="7BF77A87"/>
    <w:rsid w:val="7BF7A3FD"/>
    <w:rsid w:val="7BF916F9"/>
    <w:rsid w:val="7BF95F5E"/>
    <w:rsid w:val="7BFA5202"/>
    <w:rsid w:val="7BFA9E76"/>
    <w:rsid w:val="7BFB0A3D"/>
    <w:rsid w:val="7BFB4200"/>
    <w:rsid w:val="7BFB7033"/>
    <w:rsid w:val="7BFB7F9C"/>
    <w:rsid w:val="7BFB9543"/>
    <w:rsid w:val="7BFB985E"/>
    <w:rsid w:val="7BFBABD1"/>
    <w:rsid w:val="7BFBE81B"/>
    <w:rsid w:val="7BFC44DA"/>
    <w:rsid w:val="7BFD64F9"/>
    <w:rsid w:val="7BFDB5AF"/>
    <w:rsid w:val="7BFE078F"/>
    <w:rsid w:val="7BFEA7DC"/>
    <w:rsid w:val="7BFEBEC0"/>
    <w:rsid w:val="7BFEE5F9"/>
    <w:rsid w:val="7BFF12EC"/>
    <w:rsid w:val="7BFF4A51"/>
    <w:rsid w:val="7BFF783E"/>
    <w:rsid w:val="7BFFB8AD"/>
    <w:rsid w:val="7BFFDE0A"/>
    <w:rsid w:val="7C2E6084"/>
    <w:rsid w:val="7C3C3A9E"/>
    <w:rsid w:val="7C3EE09F"/>
    <w:rsid w:val="7C3F64A8"/>
    <w:rsid w:val="7C494404"/>
    <w:rsid w:val="7C4FFE64"/>
    <w:rsid w:val="7C5740FB"/>
    <w:rsid w:val="7C5CFF27"/>
    <w:rsid w:val="7C612522"/>
    <w:rsid w:val="7C647241"/>
    <w:rsid w:val="7C6CB81B"/>
    <w:rsid w:val="7C7661D5"/>
    <w:rsid w:val="7C785FC2"/>
    <w:rsid w:val="7C7EDBB8"/>
    <w:rsid w:val="7C7F7E6E"/>
    <w:rsid w:val="7C7FC4F3"/>
    <w:rsid w:val="7C967223"/>
    <w:rsid w:val="7C9A396D"/>
    <w:rsid w:val="7CA7AEDA"/>
    <w:rsid w:val="7CB3B1C9"/>
    <w:rsid w:val="7CB3B2E9"/>
    <w:rsid w:val="7CB7F031"/>
    <w:rsid w:val="7CB9D25A"/>
    <w:rsid w:val="7CBA27A7"/>
    <w:rsid w:val="7CBE8D34"/>
    <w:rsid w:val="7CBFBD6D"/>
    <w:rsid w:val="7CBFD9B9"/>
    <w:rsid w:val="7CCBB196"/>
    <w:rsid w:val="7CCFC274"/>
    <w:rsid w:val="7CD7666C"/>
    <w:rsid w:val="7CD981CF"/>
    <w:rsid w:val="7CDA5333"/>
    <w:rsid w:val="7CDDACD7"/>
    <w:rsid w:val="7CEE1B96"/>
    <w:rsid w:val="7CEFFCC3"/>
    <w:rsid w:val="7CF716BF"/>
    <w:rsid w:val="7CFAF6F4"/>
    <w:rsid w:val="7CFBB0F4"/>
    <w:rsid w:val="7CFD205C"/>
    <w:rsid w:val="7CFD4DBE"/>
    <w:rsid w:val="7CFD7FE0"/>
    <w:rsid w:val="7CFEEC62"/>
    <w:rsid w:val="7CFF2B79"/>
    <w:rsid w:val="7CFF3DD1"/>
    <w:rsid w:val="7CFF8031"/>
    <w:rsid w:val="7CFF9144"/>
    <w:rsid w:val="7CFF9D2E"/>
    <w:rsid w:val="7CFFDFAA"/>
    <w:rsid w:val="7D0F304A"/>
    <w:rsid w:val="7D1F1A52"/>
    <w:rsid w:val="7D1F8659"/>
    <w:rsid w:val="7D2A2DB5"/>
    <w:rsid w:val="7D34E87C"/>
    <w:rsid w:val="7D37D2DB"/>
    <w:rsid w:val="7D3D2AFD"/>
    <w:rsid w:val="7D3FE2E1"/>
    <w:rsid w:val="7D5F7F06"/>
    <w:rsid w:val="7D5F8327"/>
    <w:rsid w:val="7D6615E3"/>
    <w:rsid w:val="7D6D457A"/>
    <w:rsid w:val="7D6E562C"/>
    <w:rsid w:val="7D6EC20F"/>
    <w:rsid w:val="7D6FAE94"/>
    <w:rsid w:val="7D708025"/>
    <w:rsid w:val="7D717BCD"/>
    <w:rsid w:val="7D7298D3"/>
    <w:rsid w:val="7D739467"/>
    <w:rsid w:val="7D73AA6E"/>
    <w:rsid w:val="7D73BA06"/>
    <w:rsid w:val="7D770AE0"/>
    <w:rsid w:val="7D771844"/>
    <w:rsid w:val="7D7A8178"/>
    <w:rsid w:val="7D7B55A7"/>
    <w:rsid w:val="7D7E0C12"/>
    <w:rsid w:val="7D7F294C"/>
    <w:rsid w:val="7D7F3A40"/>
    <w:rsid w:val="7D7F6965"/>
    <w:rsid w:val="7D7FFDE7"/>
    <w:rsid w:val="7D85BE7E"/>
    <w:rsid w:val="7D9FE2EE"/>
    <w:rsid w:val="7DA75055"/>
    <w:rsid w:val="7DAECC34"/>
    <w:rsid w:val="7DB56CFC"/>
    <w:rsid w:val="7DB66F63"/>
    <w:rsid w:val="7DB743A9"/>
    <w:rsid w:val="7DBBE91C"/>
    <w:rsid w:val="7DBD4E92"/>
    <w:rsid w:val="7DBF2FCA"/>
    <w:rsid w:val="7DBF70C7"/>
    <w:rsid w:val="7DBFF4CF"/>
    <w:rsid w:val="7DC32444"/>
    <w:rsid w:val="7DCE073A"/>
    <w:rsid w:val="7DCEE1E7"/>
    <w:rsid w:val="7DCF449C"/>
    <w:rsid w:val="7DCFCE21"/>
    <w:rsid w:val="7DD876EA"/>
    <w:rsid w:val="7DDA1C08"/>
    <w:rsid w:val="7DDA87BB"/>
    <w:rsid w:val="7DDBAD8E"/>
    <w:rsid w:val="7DDC2278"/>
    <w:rsid w:val="7DDC2598"/>
    <w:rsid w:val="7DDCA428"/>
    <w:rsid w:val="7DDE0E2B"/>
    <w:rsid w:val="7DDE5C2F"/>
    <w:rsid w:val="7DDE99E0"/>
    <w:rsid w:val="7DDEF126"/>
    <w:rsid w:val="7DDF638F"/>
    <w:rsid w:val="7DDFD8EC"/>
    <w:rsid w:val="7DEBC81B"/>
    <w:rsid w:val="7DEDCF9C"/>
    <w:rsid w:val="7DEEEC7E"/>
    <w:rsid w:val="7DEFDF44"/>
    <w:rsid w:val="7DF12455"/>
    <w:rsid w:val="7DF19DFD"/>
    <w:rsid w:val="7DF76BBC"/>
    <w:rsid w:val="7DF78C9F"/>
    <w:rsid w:val="7DFA6F8F"/>
    <w:rsid w:val="7DFAD8EE"/>
    <w:rsid w:val="7DFB41AB"/>
    <w:rsid w:val="7DFB612B"/>
    <w:rsid w:val="7DFB6571"/>
    <w:rsid w:val="7DFB9D8B"/>
    <w:rsid w:val="7DFBE09B"/>
    <w:rsid w:val="7DFC102E"/>
    <w:rsid w:val="7DFC6572"/>
    <w:rsid w:val="7DFD1D3F"/>
    <w:rsid w:val="7DFD5E16"/>
    <w:rsid w:val="7DFDE730"/>
    <w:rsid w:val="7DFDFB30"/>
    <w:rsid w:val="7DFE4C67"/>
    <w:rsid w:val="7DFE67DB"/>
    <w:rsid w:val="7DFEF291"/>
    <w:rsid w:val="7DFF1BF7"/>
    <w:rsid w:val="7DFF6291"/>
    <w:rsid w:val="7DFF8680"/>
    <w:rsid w:val="7DFF87AB"/>
    <w:rsid w:val="7DFFF485"/>
    <w:rsid w:val="7DFFF96F"/>
    <w:rsid w:val="7E2F737D"/>
    <w:rsid w:val="7E2FD7A8"/>
    <w:rsid w:val="7E3AE905"/>
    <w:rsid w:val="7E4E0C7B"/>
    <w:rsid w:val="7E4E4FBC"/>
    <w:rsid w:val="7E5972ED"/>
    <w:rsid w:val="7E59A7D3"/>
    <w:rsid w:val="7E5B0699"/>
    <w:rsid w:val="7E5D0F30"/>
    <w:rsid w:val="7E5EFA8A"/>
    <w:rsid w:val="7E5FE6FE"/>
    <w:rsid w:val="7E6B999E"/>
    <w:rsid w:val="7E6E02A7"/>
    <w:rsid w:val="7E6F7C8E"/>
    <w:rsid w:val="7E753D7B"/>
    <w:rsid w:val="7E77BF7F"/>
    <w:rsid w:val="7E7813E4"/>
    <w:rsid w:val="7E7BE526"/>
    <w:rsid w:val="7E7E29A0"/>
    <w:rsid w:val="7E7E3C23"/>
    <w:rsid w:val="7E7E86BB"/>
    <w:rsid w:val="7E7EEB49"/>
    <w:rsid w:val="7E7F1658"/>
    <w:rsid w:val="7E7F1EED"/>
    <w:rsid w:val="7E7F4A5D"/>
    <w:rsid w:val="7E7F7763"/>
    <w:rsid w:val="7E7F7E99"/>
    <w:rsid w:val="7E7FCE55"/>
    <w:rsid w:val="7E8F0B32"/>
    <w:rsid w:val="7E9B3244"/>
    <w:rsid w:val="7E9B852D"/>
    <w:rsid w:val="7E9E0402"/>
    <w:rsid w:val="7EA5301E"/>
    <w:rsid w:val="7EAC0D42"/>
    <w:rsid w:val="7EAF3A53"/>
    <w:rsid w:val="7EAFCA06"/>
    <w:rsid w:val="7EB34192"/>
    <w:rsid w:val="7EB5E17E"/>
    <w:rsid w:val="7EB79A98"/>
    <w:rsid w:val="7EB8285E"/>
    <w:rsid w:val="7EB94367"/>
    <w:rsid w:val="7EB9834A"/>
    <w:rsid w:val="7EBBBD42"/>
    <w:rsid w:val="7EBBCC33"/>
    <w:rsid w:val="7EBBCE36"/>
    <w:rsid w:val="7EBCCD58"/>
    <w:rsid w:val="7EBD9DAA"/>
    <w:rsid w:val="7EBE5A15"/>
    <w:rsid w:val="7EBE6215"/>
    <w:rsid w:val="7EBF2673"/>
    <w:rsid w:val="7EBF632E"/>
    <w:rsid w:val="7EBF9A27"/>
    <w:rsid w:val="7EBFBCF1"/>
    <w:rsid w:val="7EBFCAB8"/>
    <w:rsid w:val="7EBFCFA4"/>
    <w:rsid w:val="7EBFD001"/>
    <w:rsid w:val="7EBFF1C2"/>
    <w:rsid w:val="7EC33B5B"/>
    <w:rsid w:val="7EC777DF"/>
    <w:rsid w:val="7ECF0AF0"/>
    <w:rsid w:val="7ECF81C0"/>
    <w:rsid w:val="7ECF93A2"/>
    <w:rsid w:val="7ED34340"/>
    <w:rsid w:val="7ED6AC9C"/>
    <w:rsid w:val="7ED78C02"/>
    <w:rsid w:val="7EDB6AAC"/>
    <w:rsid w:val="7EDBD8C1"/>
    <w:rsid w:val="7EDDCFFF"/>
    <w:rsid w:val="7EDFACDF"/>
    <w:rsid w:val="7EDFCAB4"/>
    <w:rsid w:val="7EDFD90A"/>
    <w:rsid w:val="7EE1684B"/>
    <w:rsid w:val="7EE46AC3"/>
    <w:rsid w:val="7EE72BA4"/>
    <w:rsid w:val="7EE77D8E"/>
    <w:rsid w:val="7EE79514"/>
    <w:rsid w:val="7EEACEEA"/>
    <w:rsid w:val="7EED4465"/>
    <w:rsid w:val="7EED73D2"/>
    <w:rsid w:val="7EED791D"/>
    <w:rsid w:val="7EEE37B9"/>
    <w:rsid w:val="7EEE3A06"/>
    <w:rsid w:val="7EEF5D53"/>
    <w:rsid w:val="7EF14C29"/>
    <w:rsid w:val="7EF1606B"/>
    <w:rsid w:val="7EF35A29"/>
    <w:rsid w:val="7EF3B7D1"/>
    <w:rsid w:val="7EF5306C"/>
    <w:rsid w:val="7EF5EE74"/>
    <w:rsid w:val="7EF60C00"/>
    <w:rsid w:val="7EF65FAD"/>
    <w:rsid w:val="7EF6B572"/>
    <w:rsid w:val="7EF6F9CE"/>
    <w:rsid w:val="7EF70D58"/>
    <w:rsid w:val="7EF7A839"/>
    <w:rsid w:val="7EF7CD12"/>
    <w:rsid w:val="7EF99E99"/>
    <w:rsid w:val="7EFB2BF7"/>
    <w:rsid w:val="7EFB4521"/>
    <w:rsid w:val="7EFB4B6F"/>
    <w:rsid w:val="7EFB6083"/>
    <w:rsid w:val="7EFBBFC9"/>
    <w:rsid w:val="7EFBD585"/>
    <w:rsid w:val="7EFBF613"/>
    <w:rsid w:val="7EFC1486"/>
    <w:rsid w:val="7EFC6DAD"/>
    <w:rsid w:val="7EFD33AE"/>
    <w:rsid w:val="7EFDA134"/>
    <w:rsid w:val="7EFDB47D"/>
    <w:rsid w:val="7EFDF007"/>
    <w:rsid w:val="7EFE0C44"/>
    <w:rsid w:val="7EFE1522"/>
    <w:rsid w:val="7EFE1D94"/>
    <w:rsid w:val="7EFE2183"/>
    <w:rsid w:val="7EFE73D4"/>
    <w:rsid w:val="7EFE9C7E"/>
    <w:rsid w:val="7EFF00F2"/>
    <w:rsid w:val="7EFF055E"/>
    <w:rsid w:val="7EFF1A11"/>
    <w:rsid w:val="7EFF31A4"/>
    <w:rsid w:val="7EFF614A"/>
    <w:rsid w:val="7EFF61BF"/>
    <w:rsid w:val="7EFF6F8E"/>
    <w:rsid w:val="7EFF7AA1"/>
    <w:rsid w:val="7EFF84DF"/>
    <w:rsid w:val="7EFFA199"/>
    <w:rsid w:val="7EFFB468"/>
    <w:rsid w:val="7EFFB84A"/>
    <w:rsid w:val="7EFFC953"/>
    <w:rsid w:val="7F179E56"/>
    <w:rsid w:val="7F1A6E05"/>
    <w:rsid w:val="7F1B85AA"/>
    <w:rsid w:val="7F1FD53A"/>
    <w:rsid w:val="7F294B09"/>
    <w:rsid w:val="7F296100"/>
    <w:rsid w:val="7F2C75CE"/>
    <w:rsid w:val="7F2FB7C5"/>
    <w:rsid w:val="7F2FBF9A"/>
    <w:rsid w:val="7F32561D"/>
    <w:rsid w:val="7F33AEDD"/>
    <w:rsid w:val="7F367B56"/>
    <w:rsid w:val="7F37D0D0"/>
    <w:rsid w:val="7F38011D"/>
    <w:rsid w:val="7F39503C"/>
    <w:rsid w:val="7F3A7A92"/>
    <w:rsid w:val="7F3C93EB"/>
    <w:rsid w:val="7F3D30F2"/>
    <w:rsid w:val="7F3EFA94"/>
    <w:rsid w:val="7F3F0A0E"/>
    <w:rsid w:val="7F3F3F7C"/>
    <w:rsid w:val="7F3FB602"/>
    <w:rsid w:val="7F3FFB8E"/>
    <w:rsid w:val="7F454EB9"/>
    <w:rsid w:val="7F4726A0"/>
    <w:rsid w:val="7F47E453"/>
    <w:rsid w:val="7F4B1CF2"/>
    <w:rsid w:val="7F4B84CF"/>
    <w:rsid w:val="7F4D45A5"/>
    <w:rsid w:val="7F5313C5"/>
    <w:rsid w:val="7F5751AD"/>
    <w:rsid w:val="7F57E0A4"/>
    <w:rsid w:val="7F57E500"/>
    <w:rsid w:val="7F580F0A"/>
    <w:rsid w:val="7F5B207F"/>
    <w:rsid w:val="7F5B6B09"/>
    <w:rsid w:val="7F5B91D5"/>
    <w:rsid w:val="7F5D5A78"/>
    <w:rsid w:val="7F5E2F47"/>
    <w:rsid w:val="7F5F877D"/>
    <w:rsid w:val="7F616809"/>
    <w:rsid w:val="7F673665"/>
    <w:rsid w:val="7F68E013"/>
    <w:rsid w:val="7F6B24BB"/>
    <w:rsid w:val="7F6C6A68"/>
    <w:rsid w:val="7F6CA88F"/>
    <w:rsid w:val="7F6CB5E2"/>
    <w:rsid w:val="7F6F47E8"/>
    <w:rsid w:val="7F6F8B97"/>
    <w:rsid w:val="7F6F8DE6"/>
    <w:rsid w:val="7F6F9A30"/>
    <w:rsid w:val="7F6F9F48"/>
    <w:rsid w:val="7F716C13"/>
    <w:rsid w:val="7F721718"/>
    <w:rsid w:val="7F75E41D"/>
    <w:rsid w:val="7F77407D"/>
    <w:rsid w:val="7F775812"/>
    <w:rsid w:val="7F7761C6"/>
    <w:rsid w:val="7F776531"/>
    <w:rsid w:val="7F77A79A"/>
    <w:rsid w:val="7F7A2FDB"/>
    <w:rsid w:val="7F7A9438"/>
    <w:rsid w:val="7F7B8471"/>
    <w:rsid w:val="7F7B8C64"/>
    <w:rsid w:val="7F7C1453"/>
    <w:rsid w:val="7F7C23A6"/>
    <w:rsid w:val="7F7C3952"/>
    <w:rsid w:val="7F7D0A30"/>
    <w:rsid w:val="7F7D4471"/>
    <w:rsid w:val="7F7D51E7"/>
    <w:rsid w:val="7F7D7375"/>
    <w:rsid w:val="7F7DC7D0"/>
    <w:rsid w:val="7F7E52F9"/>
    <w:rsid w:val="7F7E5AA2"/>
    <w:rsid w:val="7F7EAA28"/>
    <w:rsid w:val="7F7EF08B"/>
    <w:rsid w:val="7F7EF658"/>
    <w:rsid w:val="7F7F1AF3"/>
    <w:rsid w:val="7F7F44E2"/>
    <w:rsid w:val="7F7F4B8E"/>
    <w:rsid w:val="7F7F5DAE"/>
    <w:rsid w:val="7F7F6423"/>
    <w:rsid w:val="7F7F7691"/>
    <w:rsid w:val="7F7F9ADD"/>
    <w:rsid w:val="7F7FA387"/>
    <w:rsid w:val="7F7FAF6D"/>
    <w:rsid w:val="7F7FAF8C"/>
    <w:rsid w:val="7F7FD49C"/>
    <w:rsid w:val="7F7FFC16"/>
    <w:rsid w:val="7F8702E2"/>
    <w:rsid w:val="7F8A1909"/>
    <w:rsid w:val="7F8E4C30"/>
    <w:rsid w:val="7F8F422F"/>
    <w:rsid w:val="7F972AA7"/>
    <w:rsid w:val="7F9963AD"/>
    <w:rsid w:val="7F99F1C0"/>
    <w:rsid w:val="7F9BB903"/>
    <w:rsid w:val="7F9C5C5A"/>
    <w:rsid w:val="7F9D5D3D"/>
    <w:rsid w:val="7F9E2999"/>
    <w:rsid w:val="7F9EAABC"/>
    <w:rsid w:val="7F9F05E9"/>
    <w:rsid w:val="7F9F62AF"/>
    <w:rsid w:val="7F9F9A64"/>
    <w:rsid w:val="7F9FB8B9"/>
    <w:rsid w:val="7F9FC670"/>
    <w:rsid w:val="7F9FD17B"/>
    <w:rsid w:val="7F9FD62C"/>
    <w:rsid w:val="7FA68EF8"/>
    <w:rsid w:val="7FA700AC"/>
    <w:rsid w:val="7FAA301F"/>
    <w:rsid w:val="7FAB6B0A"/>
    <w:rsid w:val="7FABE5FD"/>
    <w:rsid w:val="7FAD8E32"/>
    <w:rsid w:val="7FAF1EB9"/>
    <w:rsid w:val="7FAF64A0"/>
    <w:rsid w:val="7FAFA61B"/>
    <w:rsid w:val="7FAFBD9E"/>
    <w:rsid w:val="7FB190D6"/>
    <w:rsid w:val="7FB457AC"/>
    <w:rsid w:val="7FB52217"/>
    <w:rsid w:val="7FB6211D"/>
    <w:rsid w:val="7FB6F84C"/>
    <w:rsid w:val="7FB71035"/>
    <w:rsid w:val="7FB7A9E9"/>
    <w:rsid w:val="7FB91A72"/>
    <w:rsid w:val="7FB95B02"/>
    <w:rsid w:val="7FB9603C"/>
    <w:rsid w:val="7FBA0FA9"/>
    <w:rsid w:val="7FBAAABF"/>
    <w:rsid w:val="7FBB4670"/>
    <w:rsid w:val="7FBB5BF6"/>
    <w:rsid w:val="7FBCFB01"/>
    <w:rsid w:val="7FBD043C"/>
    <w:rsid w:val="7FBD5848"/>
    <w:rsid w:val="7FBE36D6"/>
    <w:rsid w:val="7FBE9314"/>
    <w:rsid w:val="7FBE949B"/>
    <w:rsid w:val="7FBEB487"/>
    <w:rsid w:val="7FBECC5A"/>
    <w:rsid w:val="7FBF3C8C"/>
    <w:rsid w:val="7FBF582F"/>
    <w:rsid w:val="7FBF5957"/>
    <w:rsid w:val="7FBF6680"/>
    <w:rsid w:val="7FBF6D3F"/>
    <w:rsid w:val="7FBF761D"/>
    <w:rsid w:val="7FBF7812"/>
    <w:rsid w:val="7FBF87BF"/>
    <w:rsid w:val="7FBF8C59"/>
    <w:rsid w:val="7FBF929B"/>
    <w:rsid w:val="7FBF9E2F"/>
    <w:rsid w:val="7FBFB127"/>
    <w:rsid w:val="7FBFC68C"/>
    <w:rsid w:val="7FBFC961"/>
    <w:rsid w:val="7FBFCA5A"/>
    <w:rsid w:val="7FBFCFF2"/>
    <w:rsid w:val="7FBFD122"/>
    <w:rsid w:val="7FC79449"/>
    <w:rsid w:val="7FCB23F7"/>
    <w:rsid w:val="7FCBF0B9"/>
    <w:rsid w:val="7FCD24C2"/>
    <w:rsid w:val="7FCDD4E2"/>
    <w:rsid w:val="7FCE5AB8"/>
    <w:rsid w:val="7FCF82B9"/>
    <w:rsid w:val="7FCF91BD"/>
    <w:rsid w:val="7FCFC807"/>
    <w:rsid w:val="7FCFEA7F"/>
    <w:rsid w:val="7FD197AE"/>
    <w:rsid w:val="7FD27279"/>
    <w:rsid w:val="7FD38BCC"/>
    <w:rsid w:val="7FD4F214"/>
    <w:rsid w:val="7FD5BFC6"/>
    <w:rsid w:val="7FD5E42D"/>
    <w:rsid w:val="7FD6B42A"/>
    <w:rsid w:val="7FD75385"/>
    <w:rsid w:val="7FD79845"/>
    <w:rsid w:val="7FD7C864"/>
    <w:rsid w:val="7FD9D51D"/>
    <w:rsid w:val="7FD9D968"/>
    <w:rsid w:val="7FDA9657"/>
    <w:rsid w:val="7FDAD46D"/>
    <w:rsid w:val="7FDB29B5"/>
    <w:rsid w:val="7FDB5D49"/>
    <w:rsid w:val="7FDB9CF3"/>
    <w:rsid w:val="7FDBA627"/>
    <w:rsid w:val="7FDC5371"/>
    <w:rsid w:val="7FDC8DBC"/>
    <w:rsid w:val="7FDCD09A"/>
    <w:rsid w:val="7FDD0862"/>
    <w:rsid w:val="7FDD1032"/>
    <w:rsid w:val="7FDD5254"/>
    <w:rsid w:val="7FDDB421"/>
    <w:rsid w:val="7FDDB958"/>
    <w:rsid w:val="7FDDC7AD"/>
    <w:rsid w:val="7FDE5115"/>
    <w:rsid w:val="7FDE6F26"/>
    <w:rsid w:val="7FDE71A6"/>
    <w:rsid w:val="7FDE983E"/>
    <w:rsid w:val="7FDECB4C"/>
    <w:rsid w:val="7FDF11EB"/>
    <w:rsid w:val="7FDF26B0"/>
    <w:rsid w:val="7FDF6540"/>
    <w:rsid w:val="7FDF775C"/>
    <w:rsid w:val="7FDFEC1B"/>
    <w:rsid w:val="7FDFF6F7"/>
    <w:rsid w:val="7FE14722"/>
    <w:rsid w:val="7FE35DD8"/>
    <w:rsid w:val="7FE3E855"/>
    <w:rsid w:val="7FE3FC4C"/>
    <w:rsid w:val="7FE4B27D"/>
    <w:rsid w:val="7FE70AAA"/>
    <w:rsid w:val="7FE71BB1"/>
    <w:rsid w:val="7FE75B81"/>
    <w:rsid w:val="7FE768C9"/>
    <w:rsid w:val="7FE77860"/>
    <w:rsid w:val="7FEB039C"/>
    <w:rsid w:val="7FEB1CBB"/>
    <w:rsid w:val="7FEB254D"/>
    <w:rsid w:val="7FEBCD10"/>
    <w:rsid w:val="7FEBDCDC"/>
    <w:rsid w:val="7FEC5DCC"/>
    <w:rsid w:val="7FEC610E"/>
    <w:rsid w:val="7FEC7AF4"/>
    <w:rsid w:val="7FED2E9D"/>
    <w:rsid w:val="7FED87DA"/>
    <w:rsid w:val="7FED9DEE"/>
    <w:rsid w:val="7FEDA423"/>
    <w:rsid w:val="7FEDC2A3"/>
    <w:rsid w:val="7FEE30B0"/>
    <w:rsid w:val="7FEE4CD4"/>
    <w:rsid w:val="7FEE9C0E"/>
    <w:rsid w:val="7FEEA57E"/>
    <w:rsid w:val="7FEEF9A7"/>
    <w:rsid w:val="7FEF187F"/>
    <w:rsid w:val="7FEF2751"/>
    <w:rsid w:val="7FEF3C74"/>
    <w:rsid w:val="7FEF41EA"/>
    <w:rsid w:val="7FEF9F48"/>
    <w:rsid w:val="7FEFC125"/>
    <w:rsid w:val="7FEFEDB1"/>
    <w:rsid w:val="7FEFFAA1"/>
    <w:rsid w:val="7FF0BF7F"/>
    <w:rsid w:val="7FF102DA"/>
    <w:rsid w:val="7FF26C78"/>
    <w:rsid w:val="7FF30167"/>
    <w:rsid w:val="7FF34BEC"/>
    <w:rsid w:val="7FF36772"/>
    <w:rsid w:val="7FF3F25C"/>
    <w:rsid w:val="7FF46DB4"/>
    <w:rsid w:val="7FF4F1B3"/>
    <w:rsid w:val="7FF5191F"/>
    <w:rsid w:val="7FF5ADF4"/>
    <w:rsid w:val="7FF5D4E6"/>
    <w:rsid w:val="7FF5D5E3"/>
    <w:rsid w:val="7FF5F0B9"/>
    <w:rsid w:val="7FF63C10"/>
    <w:rsid w:val="7FF64DB4"/>
    <w:rsid w:val="7FF6755D"/>
    <w:rsid w:val="7FF6AD18"/>
    <w:rsid w:val="7FF6B8CE"/>
    <w:rsid w:val="7FF6D7CF"/>
    <w:rsid w:val="7FF7028C"/>
    <w:rsid w:val="7FF71004"/>
    <w:rsid w:val="7FF715CC"/>
    <w:rsid w:val="7FF71D65"/>
    <w:rsid w:val="7FF758A3"/>
    <w:rsid w:val="7FF76A84"/>
    <w:rsid w:val="7FF79B51"/>
    <w:rsid w:val="7FF7C5D6"/>
    <w:rsid w:val="7FF7CF85"/>
    <w:rsid w:val="7FF7D2D0"/>
    <w:rsid w:val="7FF9041E"/>
    <w:rsid w:val="7FF924D2"/>
    <w:rsid w:val="7FF98BBD"/>
    <w:rsid w:val="7FF99D32"/>
    <w:rsid w:val="7FF9E3EB"/>
    <w:rsid w:val="7FF9E7E0"/>
    <w:rsid w:val="7FFA0565"/>
    <w:rsid w:val="7FFA1282"/>
    <w:rsid w:val="7FFA16AF"/>
    <w:rsid w:val="7FFA624B"/>
    <w:rsid w:val="7FFA7570"/>
    <w:rsid w:val="7FFA861B"/>
    <w:rsid w:val="7FFA9FA6"/>
    <w:rsid w:val="7FFB2C43"/>
    <w:rsid w:val="7FFB3374"/>
    <w:rsid w:val="7FFB4F97"/>
    <w:rsid w:val="7FFB669F"/>
    <w:rsid w:val="7FFB708D"/>
    <w:rsid w:val="7FFB8AF9"/>
    <w:rsid w:val="7FFB8D84"/>
    <w:rsid w:val="7FFB9BF3"/>
    <w:rsid w:val="7FFB9EE3"/>
    <w:rsid w:val="7FFBADD8"/>
    <w:rsid w:val="7FFBBC0E"/>
    <w:rsid w:val="7FFBC786"/>
    <w:rsid w:val="7FFBCF82"/>
    <w:rsid w:val="7FFBDB66"/>
    <w:rsid w:val="7FFBE380"/>
    <w:rsid w:val="7FFBEAD1"/>
    <w:rsid w:val="7FFBF3E4"/>
    <w:rsid w:val="7FFBF812"/>
    <w:rsid w:val="7FFC1D6E"/>
    <w:rsid w:val="7FFC5F30"/>
    <w:rsid w:val="7FFD4D17"/>
    <w:rsid w:val="7FFD5049"/>
    <w:rsid w:val="7FFD65D8"/>
    <w:rsid w:val="7FFD6626"/>
    <w:rsid w:val="7FFD8839"/>
    <w:rsid w:val="7FFDB348"/>
    <w:rsid w:val="7FFDC1E0"/>
    <w:rsid w:val="7FFDD6BD"/>
    <w:rsid w:val="7FFDF0F0"/>
    <w:rsid w:val="7FFE3E96"/>
    <w:rsid w:val="7FFE5B4A"/>
    <w:rsid w:val="7FFE918F"/>
    <w:rsid w:val="7FFEA0B5"/>
    <w:rsid w:val="7FFEA843"/>
    <w:rsid w:val="7FFED3A1"/>
    <w:rsid w:val="7FFEFD47"/>
    <w:rsid w:val="7FFF01DC"/>
    <w:rsid w:val="7FFF14F7"/>
    <w:rsid w:val="7FFF16A3"/>
    <w:rsid w:val="7FFF1CA8"/>
    <w:rsid w:val="7FFF1E99"/>
    <w:rsid w:val="7FFF2C25"/>
    <w:rsid w:val="7FFF34B5"/>
    <w:rsid w:val="7FFF3A21"/>
    <w:rsid w:val="7FFF3F52"/>
    <w:rsid w:val="7FFF4D71"/>
    <w:rsid w:val="7FFF50AB"/>
    <w:rsid w:val="7FFF526F"/>
    <w:rsid w:val="7FFF529A"/>
    <w:rsid w:val="7FFF6602"/>
    <w:rsid w:val="7FFF688A"/>
    <w:rsid w:val="7FFF6B06"/>
    <w:rsid w:val="7FFF6CB9"/>
    <w:rsid w:val="7FFF7712"/>
    <w:rsid w:val="7FFF7D5C"/>
    <w:rsid w:val="7FFF8252"/>
    <w:rsid w:val="7FFFA8B1"/>
    <w:rsid w:val="7FFFA8F0"/>
    <w:rsid w:val="7FFFB41A"/>
    <w:rsid w:val="7FFFB7AF"/>
    <w:rsid w:val="7FFFBAA8"/>
    <w:rsid w:val="7FFFBEF7"/>
    <w:rsid w:val="7FFFD569"/>
    <w:rsid w:val="7FFFDBD4"/>
    <w:rsid w:val="7FFFDF07"/>
    <w:rsid w:val="7FFFDF87"/>
    <w:rsid w:val="7FFFE6CF"/>
    <w:rsid w:val="7FFFF16C"/>
    <w:rsid w:val="80FBB8BD"/>
    <w:rsid w:val="81F513D3"/>
    <w:rsid w:val="83FB1AA2"/>
    <w:rsid w:val="83FF5837"/>
    <w:rsid w:val="83FFDB3D"/>
    <w:rsid w:val="84A770E0"/>
    <w:rsid w:val="85DE32AF"/>
    <w:rsid w:val="86C76D8E"/>
    <w:rsid w:val="86EEC2E2"/>
    <w:rsid w:val="8775E36B"/>
    <w:rsid w:val="87F77F41"/>
    <w:rsid w:val="87FFC9AD"/>
    <w:rsid w:val="88767302"/>
    <w:rsid w:val="896D264D"/>
    <w:rsid w:val="89EF7329"/>
    <w:rsid w:val="8A7B957E"/>
    <w:rsid w:val="8ABF644F"/>
    <w:rsid w:val="8AFFFC3B"/>
    <w:rsid w:val="8B978F4B"/>
    <w:rsid w:val="8BB5C053"/>
    <w:rsid w:val="8BBB6979"/>
    <w:rsid w:val="8BE91C76"/>
    <w:rsid w:val="8CDC3741"/>
    <w:rsid w:val="8CEEC416"/>
    <w:rsid w:val="8D3DA255"/>
    <w:rsid w:val="8DA7253C"/>
    <w:rsid w:val="8DACC85A"/>
    <w:rsid w:val="8DBEC135"/>
    <w:rsid w:val="8DBFCB81"/>
    <w:rsid w:val="8DFB4554"/>
    <w:rsid w:val="8DFF2D91"/>
    <w:rsid w:val="8E2B4EAA"/>
    <w:rsid w:val="8EBB3517"/>
    <w:rsid w:val="8EDD55A8"/>
    <w:rsid w:val="8EEFDAD0"/>
    <w:rsid w:val="8EF1BDC0"/>
    <w:rsid w:val="8EFC2C59"/>
    <w:rsid w:val="8F44A391"/>
    <w:rsid w:val="8F67491B"/>
    <w:rsid w:val="8F6FADB6"/>
    <w:rsid w:val="8F7CCC44"/>
    <w:rsid w:val="8FA62733"/>
    <w:rsid w:val="8FB5957A"/>
    <w:rsid w:val="8FCB5C73"/>
    <w:rsid w:val="8FDDFB07"/>
    <w:rsid w:val="8FDFD665"/>
    <w:rsid w:val="8FE01385"/>
    <w:rsid w:val="8FEA681A"/>
    <w:rsid w:val="8FED3ECF"/>
    <w:rsid w:val="8FF9529C"/>
    <w:rsid w:val="8FFCA601"/>
    <w:rsid w:val="8FFF4502"/>
    <w:rsid w:val="915DE713"/>
    <w:rsid w:val="91BB0A1F"/>
    <w:rsid w:val="929FEE05"/>
    <w:rsid w:val="92BA7A1F"/>
    <w:rsid w:val="92DD22B1"/>
    <w:rsid w:val="92F751E5"/>
    <w:rsid w:val="92FA22C8"/>
    <w:rsid w:val="933FE373"/>
    <w:rsid w:val="93FF24CF"/>
    <w:rsid w:val="94DAE067"/>
    <w:rsid w:val="95AE972F"/>
    <w:rsid w:val="95B9F767"/>
    <w:rsid w:val="95DBE8FE"/>
    <w:rsid w:val="95EFA79E"/>
    <w:rsid w:val="95F774B3"/>
    <w:rsid w:val="95FD5902"/>
    <w:rsid w:val="95FFDAA9"/>
    <w:rsid w:val="966FE9EC"/>
    <w:rsid w:val="96BEA86D"/>
    <w:rsid w:val="9777EA3A"/>
    <w:rsid w:val="97C747E3"/>
    <w:rsid w:val="97D92F90"/>
    <w:rsid w:val="97E0C6D8"/>
    <w:rsid w:val="97EB6B8F"/>
    <w:rsid w:val="97EEDD57"/>
    <w:rsid w:val="97F06130"/>
    <w:rsid w:val="97F9FD06"/>
    <w:rsid w:val="97FDDFE6"/>
    <w:rsid w:val="97FFFBE9"/>
    <w:rsid w:val="98CECD70"/>
    <w:rsid w:val="98F20083"/>
    <w:rsid w:val="98FF64A5"/>
    <w:rsid w:val="993FDF4A"/>
    <w:rsid w:val="99FD7D4E"/>
    <w:rsid w:val="99FF3842"/>
    <w:rsid w:val="9A5FFCDB"/>
    <w:rsid w:val="9A9DFC1C"/>
    <w:rsid w:val="9AEF032D"/>
    <w:rsid w:val="9AEF3D9B"/>
    <w:rsid w:val="9AFF085B"/>
    <w:rsid w:val="9B6E1A0E"/>
    <w:rsid w:val="9B738662"/>
    <w:rsid w:val="9B7FB414"/>
    <w:rsid w:val="9B9763B7"/>
    <w:rsid w:val="9BDBBEC9"/>
    <w:rsid w:val="9BE65EC4"/>
    <w:rsid w:val="9BED2B7B"/>
    <w:rsid w:val="9BEE90D9"/>
    <w:rsid w:val="9BEFD25C"/>
    <w:rsid w:val="9BEFE1ED"/>
    <w:rsid w:val="9BF3179A"/>
    <w:rsid w:val="9BFF7BCC"/>
    <w:rsid w:val="9C3FA25D"/>
    <w:rsid w:val="9C77269B"/>
    <w:rsid w:val="9CEBB6CE"/>
    <w:rsid w:val="9CFB8E1B"/>
    <w:rsid w:val="9CFE3B5A"/>
    <w:rsid w:val="9D37FAC1"/>
    <w:rsid w:val="9D399039"/>
    <w:rsid w:val="9D3CB613"/>
    <w:rsid w:val="9D5F6283"/>
    <w:rsid w:val="9D75A10A"/>
    <w:rsid w:val="9D77DBDD"/>
    <w:rsid w:val="9D7E3911"/>
    <w:rsid w:val="9D7F7A98"/>
    <w:rsid w:val="9DB1C46C"/>
    <w:rsid w:val="9DB93716"/>
    <w:rsid w:val="9DBF6E2E"/>
    <w:rsid w:val="9DD6977D"/>
    <w:rsid w:val="9DD7FBCA"/>
    <w:rsid w:val="9DEF269B"/>
    <w:rsid w:val="9DF7859B"/>
    <w:rsid w:val="9DFF22A5"/>
    <w:rsid w:val="9DFFCB8D"/>
    <w:rsid w:val="9E1BA4AA"/>
    <w:rsid w:val="9E37DE2E"/>
    <w:rsid w:val="9E5E8F91"/>
    <w:rsid w:val="9E7B351B"/>
    <w:rsid w:val="9E971EBB"/>
    <w:rsid w:val="9EAF25E0"/>
    <w:rsid w:val="9ED7903D"/>
    <w:rsid w:val="9ED91280"/>
    <w:rsid w:val="9EFE0F55"/>
    <w:rsid w:val="9EFED409"/>
    <w:rsid w:val="9EFF8415"/>
    <w:rsid w:val="9F1B3B71"/>
    <w:rsid w:val="9F1EE06B"/>
    <w:rsid w:val="9F32142D"/>
    <w:rsid w:val="9F5B3657"/>
    <w:rsid w:val="9F5D7C64"/>
    <w:rsid w:val="9F5FA79E"/>
    <w:rsid w:val="9F5FEA3E"/>
    <w:rsid w:val="9F5FF541"/>
    <w:rsid w:val="9F6F537E"/>
    <w:rsid w:val="9F73007F"/>
    <w:rsid w:val="9F7AE8B4"/>
    <w:rsid w:val="9F7E3072"/>
    <w:rsid w:val="9F7FB4A0"/>
    <w:rsid w:val="9F7FBF3E"/>
    <w:rsid w:val="9F99BBC5"/>
    <w:rsid w:val="9F9DC55A"/>
    <w:rsid w:val="9F9E6BCA"/>
    <w:rsid w:val="9F9F6CA0"/>
    <w:rsid w:val="9F9FFED6"/>
    <w:rsid w:val="9FAF340E"/>
    <w:rsid w:val="9FAF900A"/>
    <w:rsid w:val="9FBB3EEE"/>
    <w:rsid w:val="9FBFE3E4"/>
    <w:rsid w:val="9FCE2D43"/>
    <w:rsid w:val="9FD7CA2E"/>
    <w:rsid w:val="9FDAB4FE"/>
    <w:rsid w:val="9FDB06AA"/>
    <w:rsid w:val="9FDB8681"/>
    <w:rsid w:val="9FDBC856"/>
    <w:rsid w:val="9FDFE8C0"/>
    <w:rsid w:val="9FED052C"/>
    <w:rsid w:val="9FF449B7"/>
    <w:rsid w:val="9FF70B34"/>
    <w:rsid w:val="9FF8E262"/>
    <w:rsid w:val="9FFB7C58"/>
    <w:rsid w:val="9FFD20FC"/>
    <w:rsid w:val="9FFDF6CB"/>
    <w:rsid w:val="9FFEB8B5"/>
    <w:rsid w:val="A20FD791"/>
    <w:rsid w:val="A35F6EAF"/>
    <w:rsid w:val="A39F7C68"/>
    <w:rsid w:val="A3DF32A7"/>
    <w:rsid w:val="A3F788BE"/>
    <w:rsid w:val="A3FB7599"/>
    <w:rsid w:val="A4FF4370"/>
    <w:rsid w:val="A53F44BC"/>
    <w:rsid w:val="A57FEFBE"/>
    <w:rsid w:val="A5BF6EB6"/>
    <w:rsid w:val="A5F75436"/>
    <w:rsid w:val="A5FE399D"/>
    <w:rsid w:val="A697779C"/>
    <w:rsid w:val="A6BF3196"/>
    <w:rsid w:val="A6FF9683"/>
    <w:rsid w:val="A77BA081"/>
    <w:rsid w:val="A7A94118"/>
    <w:rsid w:val="A7D9D14B"/>
    <w:rsid w:val="A7DBA555"/>
    <w:rsid w:val="A7DFB558"/>
    <w:rsid w:val="A7E7A67A"/>
    <w:rsid w:val="A7F5DA38"/>
    <w:rsid w:val="A8F742AD"/>
    <w:rsid w:val="A93F0C5C"/>
    <w:rsid w:val="A97D2D72"/>
    <w:rsid w:val="A9AF0838"/>
    <w:rsid w:val="A9BA140E"/>
    <w:rsid w:val="A9BF8874"/>
    <w:rsid w:val="A9EFF5D5"/>
    <w:rsid w:val="A9F53024"/>
    <w:rsid w:val="AA7D8C53"/>
    <w:rsid w:val="AABEDEE9"/>
    <w:rsid w:val="AADAFA38"/>
    <w:rsid w:val="AADD5CA6"/>
    <w:rsid w:val="AAE6C2A4"/>
    <w:rsid w:val="AAF79E35"/>
    <w:rsid w:val="AB5F9DC3"/>
    <w:rsid w:val="AB7C8023"/>
    <w:rsid w:val="AB9CECFC"/>
    <w:rsid w:val="ABBBFE3E"/>
    <w:rsid w:val="ABBF6796"/>
    <w:rsid w:val="ABD705D0"/>
    <w:rsid w:val="ABEA59C9"/>
    <w:rsid w:val="ABEDCD97"/>
    <w:rsid w:val="ABEFA8AB"/>
    <w:rsid w:val="ABEFC8CF"/>
    <w:rsid w:val="ABFDF1B1"/>
    <w:rsid w:val="ABFFF47A"/>
    <w:rsid w:val="ABFFF6DF"/>
    <w:rsid w:val="AC141CF3"/>
    <w:rsid w:val="AC77C06E"/>
    <w:rsid w:val="ACF6612C"/>
    <w:rsid w:val="ACFAD646"/>
    <w:rsid w:val="ACFF6D7B"/>
    <w:rsid w:val="AD2EA666"/>
    <w:rsid w:val="AD4FD0DA"/>
    <w:rsid w:val="AD594F4E"/>
    <w:rsid w:val="AD739E8A"/>
    <w:rsid w:val="ADED7367"/>
    <w:rsid w:val="ADEFFE65"/>
    <w:rsid w:val="ADFB1F38"/>
    <w:rsid w:val="ADFB6CA8"/>
    <w:rsid w:val="AE5EEA9F"/>
    <w:rsid w:val="AE7FF841"/>
    <w:rsid w:val="AEBDDCD7"/>
    <w:rsid w:val="AEDD9756"/>
    <w:rsid w:val="AEF75B01"/>
    <w:rsid w:val="AEF76A3C"/>
    <w:rsid w:val="AEFD1760"/>
    <w:rsid w:val="AEFD61D4"/>
    <w:rsid w:val="AEFF8477"/>
    <w:rsid w:val="AF2FE24E"/>
    <w:rsid w:val="AF5FC6BD"/>
    <w:rsid w:val="AF77346C"/>
    <w:rsid w:val="AF7D2C26"/>
    <w:rsid w:val="AF7ECC5C"/>
    <w:rsid w:val="AF7F9BE8"/>
    <w:rsid w:val="AFB3700E"/>
    <w:rsid w:val="AFB97243"/>
    <w:rsid w:val="AFBFEBA9"/>
    <w:rsid w:val="AFC3925B"/>
    <w:rsid w:val="AFCB5455"/>
    <w:rsid w:val="AFCC1ECB"/>
    <w:rsid w:val="AFD36D0A"/>
    <w:rsid w:val="AFD3C74D"/>
    <w:rsid w:val="AFD70EA5"/>
    <w:rsid w:val="AFDBCBEA"/>
    <w:rsid w:val="AFDC218C"/>
    <w:rsid w:val="AFDD6C8D"/>
    <w:rsid w:val="AFE9EE20"/>
    <w:rsid w:val="AFEF050D"/>
    <w:rsid w:val="AFF30E48"/>
    <w:rsid w:val="AFF41716"/>
    <w:rsid w:val="AFF5EA2E"/>
    <w:rsid w:val="AFF77E44"/>
    <w:rsid w:val="AFF8E5DF"/>
    <w:rsid w:val="AFF9B6D2"/>
    <w:rsid w:val="AFF9CC02"/>
    <w:rsid w:val="AFFA52F2"/>
    <w:rsid w:val="AFFB0471"/>
    <w:rsid w:val="AFFB3E6A"/>
    <w:rsid w:val="AFFC27FA"/>
    <w:rsid w:val="AFFEAFF3"/>
    <w:rsid w:val="AFFF2961"/>
    <w:rsid w:val="AFFF3754"/>
    <w:rsid w:val="AFFF5493"/>
    <w:rsid w:val="AFFF5FD5"/>
    <w:rsid w:val="B0BD1F6F"/>
    <w:rsid w:val="B0ED861C"/>
    <w:rsid w:val="B1D71236"/>
    <w:rsid w:val="B1F2EDA3"/>
    <w:rsid w:val="B27FC8C7"/>
    <w:rsid w:val="B2DFE350"/>
    <w:rsid w:val="B2F09E50"/>
    <w:rsid w:val="B2FF4F90"/>
    <w:rsid w:val="B2FFC23B"/>
    <w:rsid w:val="B35FC940"/>
    <w:rsid w:val="B35FEA9B"/>
    <w:rsid w:val="B37CFE8C"/>
    <w:rsid w:val="B37D3D39"/>
    <w:rsid w:val="B3895DF5"/>
    <w:rsid w:val="B39AD0ED"/>
    <w:rsid w:val="B39FBC7D"/>
    <w:rsid w:val="B3A76B3E"/>
    <w:rsid w:val="B3B7135A"/>
    <w:rsid w:val="B3BEA028"/>
    <w:rsid w:val="B3BF41A1"/>
    <w:rsid w:val="B3DEB661"/>
    <w:rsid w:val="B3DFC84E"/>
    <w:rsid w:val="B3F8D75B"/>
    <w:rsid w:val="B3FC9BC5"/>
    <w:rsid w:val="B3FEC0EF"/>
    <w:rsid w:val="B3FF7B8A"/>
    <w:rsid w:val="B4557BFB"/>
    <w:rsid w:val="B467801C"/>
    <w:rsid w:val="B4BDB978"/>
    <w:rsid w:val="B4FF6D54"/>
    <w:rsid w:val="B56EABF6"/>
    <w:rsid w:val="B57F749B"/>
    <w:rsid w:val="B59E8DFC"/>
    <w:rsid w:val="B5B7DC5A"/>
    <w:rsid w:val="B5BF061E"/>
    <w:rsid w:val="B5E5E43E"/>
    <w:rsid w:val="B5E78676"/>
    <w:rsid w:val="B5EEEE3F"/>
    <w:rsid w:val="B5FA522F"/>
    <w:rsid w:val="B5FF2087"/>
    <w:rsid w:val="B65FDDB9"/>
    <w:rsid w:val="B68C9659"/>
    <w:rsid w:val="B69FA037"/>
    <w:rsid w:val="B6D5BA8D"/>
    <w:rsid w:val="B6D6BCCE"/>
    <w:rsid w:val="B6ED21E6"/>
    <w:rsid w:val="B6EF99D1"/>
    <w:rsid w:val="B6EFCB91"/>
    <w:rsid w:val="B6F1544D"/>
    <w:rsid w:val="B6F7E62D"/>
    <w:rsid w:val="B6FE3A60"/>
    <w:rsid w:val="B6FE943B"/>
    <w:rsid w:val="B6FF636D"/>
    <w:rsid w:val="B72FADA7"/>
    <w:rsid w:val="B74B1C86"/>
    <w:rsid w:val="B756C256"/>
    <w:rsid w:val="B75B81A9"/>
    <w:rsid w:val="B77F06C1"/>
    <w:rsid w:val="B77F350B"/>
    <w:rsid w:val="B77F64EB"/>
    <w:rsid w:val="B77F6E46"/>
    <w:rsid w:val="B78F057A"/>
    <w:rsid w:val="B796A71A"/>
    <w:rsid w:val="B79BE116"/>
    <w:rsid w:val="B79F2521"/>
    <w:rsid w:val="B79FC1ED"/>
    <w:rsid w:val="B7A7291B"/>
    <w:rsid w:val="B7AADDB9"/>
    <w:rsid w:val="B7AD18FD"/>
    <w:rsid w:val="B7AFF6C3"/>
    <w:rsid w:val="B7BB6C4A"/>
    <w:rsid w:val="B7BBFE32"/>
    <w:rsid w:val="B7BEF264"/>
    <w:rsid w:val="B7BF4E83"/>
    <w:rsid w:val="B7CAA309"/>
    <w:rsid w:val="B7CB8343"/>
    <w:rsid w:val="B7CF0FD6"/>
    <w:rsid w:val="B7DF4109"/>
    <w:rsid w:val="B7E6D3EA"/>
    <w:rsid w:val="B7E7AD58"/>
    <w:rsid w:val="B7E86C43"/>
    <w:rsid w:val="B7EB0C9F"/>
    <w:rsid w:val="B7EDFFF7"/>
    <w:rsid w:val="B7EF8F99"/>
    <w:rsid w:val="B7F32CF5"/>
    <w:rsid w:val="B7F51150"/>
    <w:rsid w:val="B7F6D89E"/>
    <w:rsid w:val="B7F6FD8E"/>
    <w:rsid w:val="B7F749A0"/>
    <w:rsid w:val="B7F787DC"/>
    <w:rsid w:val="B7FB2DB0"/>
    <w:rsid w:val="B7FBBA0D"/>
    <w:rsid w:val="B7FBCA65"/>
    <w:rsid w:val="B7FD89EB"/>
    <w:rsid w:val="B7FDD219"/>
    <w:rsid w:val="B7FE5D23"/>
    <w:rsid w:val="B7FF1431"/>
    <w:rsid w:val="B7FF1813"/>
    <w:rsid w:val="B7FF1C53"/>
    <w:rsid w:val="B7FF9FBA"/>
    <w:rsid w:val="B7FFC040"/>
    <w:rsid w:val="B7FFCF6F"/>
    <w:rsid w:val="B873986F"/>
    <w:rsid w:val="B8F7CFE0"/>
    <w:rsid w:val="B8FF48C2"/>
    <w:rsid w:val="B95545D1"/>
    <w:rsid w:val="B978CDE9"/>
    <w:rsid w:val="B9C3BA53"/>
    <w:rsid w:val="B9DF4286"/>
    <w:rsid w:val="B9DFE025"/>
    <w:rsid w:val="B9E9DF23"/>
    <w:rsid w:val="B9FAA6D8"/>
    <w:rsid w:val="B9FBFC3F"/>
    <w:rsid w:val="B9FF5F41"/>
    <w:rsid w:val="BA1FA7F0"/>
    <w:rsid w:val="BA5A45D1"/>
    <w:rsid w:val="BA6946C7"/>
    <w:rsid w:val="BA720AF6"/>
    <w:rsid w:val="BAA2F18A"/>
    <w:rsid w:val="BABB7C5C"/>
    <w:rsid w:val="BABFAD78"/>
    <w:rsid w:val="BACD2C9C"/>
    <w:rsid w:val="BAEF28C9"/>
    <w:rsid w:val="BAF3B7C8"/>
    <w:rsid w:val="BAFB859F"/>
    <w:rsid w:val="BAFFB75E"/>
    <w:rsid w:val="BB05CB6A"/>
    <w:rsid w:val="BB391A5C"/>
    <w:rsid w:val="BB3C772A"/>
    <w:rsid w:val="BB759A3F"/>
    <w:rsid w:val="BB7DA099"/>
    <w:rsid w:val="BB8B60E2"/>
    <w:rsid w:val="BB8DC9A5"/>
    <w:rsid w:val="BBB7A0A1"/>
    <w:rsid w:val="BBB8C1D5"/>
    <w:rsid w:val="BBBDFE71"/>
    <w:rsid w:val="BBBF121E"/>
    <w:rsid w:val="BBD5FB0F"/>
    <w:rsid w:val="BBDE5396"/>
    <w:rsid w:val="BBDF03E9"/>
    <w:rsid w:val="BBE71E66"/>
    <w:rsid w:val="BBE77050"/>
    <w:rsid w:val="BBE774D2"/>
    <w:rsid w:val="BBEE1FE7"/>
    <w:rsid w:val="BBEF2EF4"/>
    <w:rsid w:val="BBF3B900"/>
    <w:rsid w:val="BBF3BAA9"/>
    <w:rsid w:val="BBF7D7D8"/>
    <w:rsid w:val="BBF8C2D7"/>
    <w:rsid w:val="BBFB571B"/>
    <w:rsid w:val="BBFCA057"/>
    <w:rsid w:val="BBFCE9E5"/>
    <w:rsid w:val="BBFD51B6"/>
    <w:rsid w:val="BBFD624D"/>
    <w:rsid w:val="BBFDB4F2"/>
    <w:rsid w:val="BBFDDEC2"/>
    <w:rsid w:val="BBFE014A"/>
    <w:rsid w:val="BBFF0436"/>
    <w:rsid w:val="BBFF3382"/>
    <w:rsid w:val="BBFFB3D6"/>
    <w:rsid w:val="BC309296"/>
    <w:rsid w:val="BC3EA3A5"/>
    <w:rsid w:val="BC4DE05C"/>
    <w:rsid w:val="BC5638E2"/>
    <w:rsid w:val="BC7C1A7B"/>
    <w:rsid w:val="BCAC45C9"/>
    <w:rsid w:val="BCADBA8D"/>
    <w:rsid w:val="BCAF7765"/>
    <w:rsid w:val="BCAFDE74"/>
    <w:rsid w:val="BCBBCC96"/>
    <w:rsid w:val="BCCA3DA3"/>
    <w:rsid w:val="BCD9E1E2"/>
    <w:rsid w:val="BCE217B1"/>
    <w:rsid w:val="BCEE0C39"/>
    <w:rsid w:val="BCEF62BA"/>
    <w:rsid w:val="BCEFA445"/>
    <w:rsid w:val="BCEFEA80"/>
    <w:rsid w:val="BCF188B7"/>
    <w:rsid w:val="BCF76000"/>
    <w:rsid w:val="BCFA48BE"/>
    <w:rsid w:val="BCFC4C00"/>
    <w:rsid w:val="BCFDFCE7"/>
    <w:rsid w:val="BD192573"/>
    <w:rsid w:val="BD1F0D95"/>
    <w:rsid w:val="BD2BF750"/>
    <w:rsid w:val="BD3F6BDD"/>
    <w:rsid w:val="BD3FD482"/>
    <w:rsid w:val="BD53A36E"/>
    <w:rsid w:val="BD578845"/>
    <w:rsid w:val="BD765C2D"/>
    <w:rsid w:val="BD7BED7D"/>
    <w:rsid w:val="BD7BF9E3"/>
    <w:rsid w:val="BD7F1B04"/>
    <w:rsid w:val="BD7F2F13"/>
    <w:rsid w:val="BD7FA0A1"/>
    <w:rsid w:val="BD9F077D"/>
    <w:rsid w:val="BDBBE41F"/>
    <w:rsid w:val="BDBFEA27"/>
    <w:rsid w:val="BDDDC4CA"/>
    <w:rsid w:val="BDDE8CEF"/>
    <w:rsid w:val="BDE7C6C1"/>
    <w:rsid w:val="BDEBE3AA"/>
    <w:rsid w:val="BDED79B9"/>
    <w:rsid w:val="BDED9CD6"/>
    <w:rsid w:val="BDEDDA24"/>
    <w:rsid w:val="BDEF6157"/>
    <w:rsid w:val="BDEFE4BA"/>
    <w:rsid w:val="BDF76CC7"/>
    <w:rsid w:val="BDF782C6"/>
    <w:rsid w:val="BDF787AE"/>
    <w:rsid w:val="BDF96134"/>
    <w:rsid w:val="BDF992FF"/>
    <w:rsid w:val="BDFD379B"/>
    <w:rsid w:val="BDFF62D1"/>
    <w:rsid w:val="BDFF7050"/>
    <w:rsid w:val="BE0F18EA"/>
    <w:rsid w:val="BE27C01C"/>
    <w:rsid w:val="BE3F77AF"/>
    <w:rsid w:val="BE6D7997"/>
    <w:rsid w:val="BE7673F4"/>
    <w:rsid w:val="BE7BA37A"/>
    <w:rsid w:val="BE7EB0D9"/>
    <w:rsid w:val="BE9F9635"/>
    <w:rsid w:val="BEA7D623"/>
    <w:rsid w:val="BEAF00D9"/>
    <w:rsid w:val="BEB7B5CC"/>
    <w:rsid w:val="BEBF0117"/>
    <w:rsid w:val="BEC73233"/>
    <w:rsid w:val="BECDA056"/>
    <w:rsid w:val="BECF9107"/>
    <w:rsid w:val="BED7D3A8"/>
    <w:rsid w:val="BEDA2FB3"/>
    <w:rsid w:val="BEDB1385"/>
    <w:rsid w:val="BEDE6B4D"/>
    <w:rsid w:val="BEDF2DFA"/>
    <w:rsid w:val="BEE97B40"/>
    <w:rsid w:val="BEECBFF6"/>
    <w:rsid w:val="BEEE7DE6"/>
    <w:rsid w:val="BEEEE197"/>
    <w:rsid w:val="BEF3BE96"/>
    <w:rsid w:val="BEF58E04"/>
    <w:rsid w:val="BEF90756"/>
    <w:rsid w:val="BEFB31B9"/>
    <w:rsid w:val="BEFB956E"/>
    <w:rsid w:val="BEFD37A6"/>
    <w:rsid w:val="BEFD6F30"/>
    <w:rsid w:val="BEFEA3B8"/>
    <w:rsid w:val="BEFF06D9"/>
    <w:rsid w:val="BEFF5C1A"/>
    <w:rsid w:val="BEFF7837"/>
    <w:rsid w:val="BEFF9D56"/>
    <w:rsid w:val="BEFFEC9B"/>
    <w:rsid w:val="BEFFF05E"/>
    <w:rsid w:val="BF0F79F8"/>
    <w:rsid w:val="BF2FF782"/>
    <w:rsid w:val="BF3F8419"/>
    <w:rsid w:val="BF4B52E6"/>
    <w:rsid w:val="BF4DB7B0"/>
    <w:rsid w:val="BF57124A"/>
    <w:rsid w:val="BF579B21"/>
    <w:rsid w:val="BF5BAC53"/>
    <w:rsid w:val="BF5BE8D4"/>
    <w:rsid w:val="BF5D6EBB"/>
    <w:rsid w:val="BF5D8FB0"/>
    <w:rsid w:val="BF5E06DD"/>
    <w:rsid w:val="BF5E3579"/>
    <w:rsid w:val="BF5E4069"/>
    <w:rsid w:val="BF5F548C"/>
    <w:rsid w:val="BF5FDC6D"/>
    <w:rsid w:val="BF6E0538"/>
    <w:rsid w:val="BF6FD7FE"/>
    <w:rsid w:val="BF725E0D"/>
    <w:rsid w:val="BF7522C5"/>
    <w:rsid w:val="BF76708B"/>
    <w:rsid w:val="BF7729B7"/>
    <w:rsid w:val="BF772BF4"/>
    <w:rsid w:val="BF779607"/>
    <w:rsid w:val="BF7C1656"/>
    <w:rsid w:val="BF7C57E9"/>
    <w:rsid w:val="BF7D3B14"/>
    <w:rsid w:val="BF7DE83F"/>
    <w:rsid w:val="BF7F334B"/>
    <w:rsid w:val="BF7F3A41"/>
    <w:rsid w:val="BF8F101F"/>
    <w:rsid w:val="BF913066"/>
    <w:rsid w:val="BF93B9E9"/>
    <w:rsid w:val="BF97E498"/>
    <w:rsid w:val="BF9B092A"/>
    <w:rsid w:val="BF9B1FA1"/>
    <w:rsid w:val="BF9C0D1C"/>
    <w:rsid w:val="BF9F9BF4"/>
    <w:rsid w:val="BF9FA09D"/>
    <w:rsid w:val="BF9FC648"/>
    <w:rsid w:val="BF9FE97B"/>
    <w:rsid w:val="BFAF1261"/>
    <w:rsid w:val="BFAF47B1"/>
    <w:rsid w:val="BFB6B7A8"/>
    <w:rsid w:val="BFB73005"/>
    <w:rsid w:val="BFBB94F2"/>
    <w:rsid w:val="BFBCC107"/>
    <w:rsid w:val="BFBD2959"/>
    <w:rsid w:val="BFBD4BD1"/>
    <w:rsid w:val="BFBD5CAE"/>
    <w:rsid w:val="BFBE68F1"/>
    <w:rsid w:val="BFBF4E60"/>
    <w:rsid w:val="BFBF7312"/>
    <w:rsid w:val="BFBFA42D"/>
    <w:rsid w:val="BFBFF1FF"/>
    <w:rsid w:val="BFC4C6E3"/>
    <w:rsid w:val="BFC734E1"/>
    <w:rsid w:val="BFCBAF72"/>
    <w:rsid w:val="BFCDA9B1"/>
    <w:rsid w:val="BFCDD8C6"/>
    <w:rsid w:val="BFD194B8"/>
    <w:rsid w:val="BFD3AA3D"/>
    <w:rsid w:val="BFDAE113"/>
    <w:rsid w:val="BFDB15A3"/>
    <w:rsid w:val="BFDB90E0"/>
    <w:rsid w:val="BFDBDC08"/>
    <w:rsid w:val="BFDD2E93"/>
    <w:rsid w:val="BFDDDC66"/>
    <w:rsid w:val="BFDE608C"/>
    <w:rsid w:val="BFDF6B32"/>
    <w:rsid w:val="BFDF6D9A"/>
    <w:rsid w:val="BFDF6DC5"/>
    <w:rsid w:val="BFDFA764"/>
    <w:rsid w:val="BFE16DEC"/>
    <w:rsid w:val="BFE22AC7"/>
    <w:rsid w:val="BFE35D61"/>
    <w:rsid w:val="BFE7154A"/>
    <w:rsid w:val="BFED82CE"/>
    <w:rsid w:val="BFEEA7E5"/>
    <w:rsid w:val="BFEF00B6"/>
    <w:rsid w:val="BFEF13E7"/>
    <w:rsid w:val="BFEF20FC"/>
    <w:rsid w:val="BFEF6C14"/>
    <w:rsid w:val="BFF394FA"/>
    <w:rsid w:val="BFF4DD2D"/>
    <w:rsid w:val="BFF5027E"/>
    <w:rsid w:val="BFF63800"/>
    <w:rsid w:val="BFF646E2"/>
    <w:rsid w:val="BFF67C12"/>
    <w:rsid w:val="BFF6DA1D"/>
    <w:rsid w:val="BFF7540F"/>
    <w:rsid w:val="BFF788CE"/>
    <w:rsid w:val="BFF950D4"/>
    <w:rsid w:val="BFF9B394"/>
    <w:rsid w:val="BFFAB6B3"/>
    <w:rsid w:val="BFFB1056"/>
    <w:rsid w:val="BFFB40D6"/>
    <w:rsid w:val="BFFB649A"/>
    <w:rsid w:val="BFFBDB8F"/>
    <w:rsid w:val="BFFC72C4"/>
    <w:rsid w:val="BFFC88CE"/>
    <w:rsid w:val="BFFCCB5E"/>
    <w:rsid w:val="BFFE177F"/>
    <w:rsid w:val="BFFE275E"/>
    <w:rsid w:val="BFFE3726"/>
    <w:rsid w:val="BFFE3D59"/>
    <w:rsid w:val="BFFE5C3D"/>
    <w:rsid w:val="BFFE6128"/>
    <w:rsid w:val="BFFE9414"/>
    <w:rsid w:val="BFFEB757"/>
    <w:rsid w:val="BFFED675"/>
    <w:rsid w:val="BFFEF6AC"/>
    <w:rsid w:val="BFFF0509"/>
    <w:rsid w:val="BFFF2993"/>
    <w:rsid w:val="BFFF32DA"/>
    <w:rsid w:val="BFFF3B0C"/>
    <w:rsid w:val="BFFF3BE3"/>
    <w:rsid w:val="BFFF3E8D"/>
    <w:rsid w:val="BFFF9E7B"/>
    <w:rsid w:val="BFFFA869"/>
    <w:rsid w:val="BFFFACC0"/>
    <w:rsid w:val="BFFFB587"/>
    <w:rsid w:val="BFFFD9AC"/>
    <w:rsid w:val="C07B4D9E"/>
    <w:rsid w:val="C0F7403A"/>
    <w:rsid w:val="C2923E1B"/>
    <w:rsid w:val="C3560AF9"/>
    <w:rsid w:val="C35E5E6B"/>
    <w:rsid w:val="C3776E75"/>
    <w:rsid w:val="C3A772EB"/>
    <w:rsid w:val="C3DF65F9"/>
    <w:rsid w:val="C3F3118F"/>
    <w:rsid w:val="C4EF9349"/>
    <w:rsid w:val="C5DF6D4F"/>
    <w:rsid w:val="C5EBAAC1"/>
    <w:rsid w:val="C5EDB2FC"/>
    <w:rsid w:val="C63B5325"/>
    <w:rsid w:val="C64801FA"/>
    <w:rsid w:val="C6741ADD"/>
    <w:rsid w:val="C6D4318F"/>
    <w:rsid w:val="C6ED442B"/>
    <w:rsid w:val="C7353BA1"/>
    <w:rsid w:val="C73B5F67"/>
    <w:rsid w:val="C75D0AF9"/>
    <w:rsid w:val="C777F9BB"/>
    <w:rsid w:val="C77A17AE"/>
    <w:rsid w:val="C77F1F67"/>
    <w:rsid w:val="C7EFB8E5"/>
    <w:rsid w:val="C7FB3D71"/>
    <w:rsid w:val="C7FE8EB0"/>
    <w:rsid w:val="C7FE91DB"/>
    <w:rsid w:val="C7FED349"/>
    <w:rsid w:val="C87A3A7C"/>
    <w:rsid w:val="C8BFEF13"/>
    <w:rsid w:val="C8D70AD6"/>
    <w:rsid w:val="C8F5756B"/>
    <w:rsid w:val="C8FF80F9"/>
    <w:rsid w:val="C973EDA3"/>
    <w:rsid w:val="C9FE5A3E"/>
    <w:rsid w:val="CAFA4A6F"/>
    <w:rsid w:val="CB125484"/>
    <w:rsid w:val="CB4FB554"/>
    <w:rsid w:val="CB5F6A48"/>
    <w:rsid w:val="CBBF33D7"/>
    <w:rsid w:val="CBDD2801"/>
    <w:rsid w:val="CBDF6803"/>
    <w:rsid w:val="CBEF6C2C"/>
    <w:rsid w:val="CBF3F0D2"/>
    <w:rsid w:val="CBFAEA74"/>
    <w:rsid w:val="CBFBD832"/>
    <w:rsid w:val="CBFD83CC"/>
    <w:rsid w:val="CBFE6162"/>
    <w:rsid w:val="CBFF7133"/>
    <w:rsid w:val="CCBFB388"/>
    <w:rsid w:val="CCBFD14F"/>
    <w:rsid w:val="CCDB8E03"/>
    <w:rsid w:val="CCEF9F2B"/>
    <w:rsid w:val="CCF3EB11"/>
    <w:rsid w:val="CD374904"/>
    <w:rsid w:val="CD7FAC48"/>
    <w:rsid w:val="CDBE7BFA"/>
    <w:rsid w:val="CDDE20BE"/>
    <w:rsid w:val="CDDEF16A"/>
    <w:rsid w:val="CDDFE345"/>
    <w:rsid w:val="CDE71375"/>
    <w:rsid w:val="CDEDD1A1"/>
    <w:rsid w:val="CDFBF7EF"/>
    <w:rsid w:val="CDFD22B8"/>
    <w:rsid w:val="CDFD81E8"/>
    <w:rsid w:val="CDFF3021"/>
    <w:rsid w:val="CDFF8AD0"/>
    <w:rsid w:val="CE5F602E"/>
    <w:rsid w:val="CE7A586D"/>
    <w:rsid w:val="CEB44A9A"/>
    <w:rsid w:val="CEB723CD"/>
    <w:rsid w:val="CECE0732"/>
    <w:rsid w:val="CEDB809D"/>
    <w:rsid w:val="CEE79FCB"/>
    <w:rsid w:val="CEEF944B"/>
    <w:rsid w:val="CEF940A0"/>
    <w:rsid w:val="CEFF5970"/>
    <w:rsid w:val="CEFF91C7"/>
    <w:rsid w:val="CF5B7B63"/>
    <w:rsid w:val="CF5D61C1"/>
    <w:rsid w:val="CF6CC256"/>
    <w:rsid w:val="CF6DA334"/>
    <w:rsid w:val="CF6FEA97"/>
    <w:rsid w:val="CF7534BA"/>
    <w:rsid w:val="CF75573D"/>
    <w:rsid w:val="CF762069"/>
    <w:rsid w:val="CF7763BC"/>
    <w:rsid w:val="CF77AA17"/>
    <w:rsid w:val="CF7F990A"/>
    <w:rsid w:val="CF7F9AF7"/>
    <w:rsid w:val="CFB91C86"/>
    <w:rsid w:val="CFBB271C"/>
    <w:rsid w:val="CFBD7400"/>
    <w:rsid w:val="CFBE7068"/>
    <w:rsid w:val="CFBF7275"/>
    <w:rsid w:val="CFBFCE7A"/>
    <w:rsid w:val="CFCA6C42"/>
    <w:rsid w:val="CFCE8D0B"/>
    <w:rsid w:val="CFDBE0B2"/>
    <w:rsid w:val="CFDC1F06"/>
    <w:rsid w:val="CFDD40B3"/>
    <w:rsid w:val="CFDF60B4"/>
    <w:rsid w:val="CFDFA441"/>
    <w:rsid w:val="CFEB167A"/>
    <w:rsid w:val="CFEB9B1A"/>
    <w:rsid w:val="CFEE6491"/>
    <w:rsid w:val="CFEF3315"/>
    <w:rsid w:val="CFEF799A"/>
    <w:rsid w:val="CFEFBDC1"/>
    <w:rsid w:val="CFEFD3BF"/>
    <w:rsid w:val="CFF334CE"/>
    <w:rsid w:val="CFFBDEE6"/>
    <w:rsid w:val="CFFBEFF9"/>
    <w:rsid w:val="CFFC0949"/>
    <w:rsid w:val="CFFC64D3"/>
    <w:rsid w:val="CFFDF11C"/>
    <w:rsid w:val="CFFF06D2"/>
    <w:rsid w:val="CFFF1D9A"/>
    <w:rsid w:val="CFFF9CC7"/>
    <w:rsid w:val="CFFFCFAE"/>
    <w:rsid w:val="D0DBBD38"/>
    <w:rsid w:val="D137B8AE"/>
    <w:rsid w:val="D1BD34E5"/>
    <w:rsid w:val="D1CDFF82"/>
    <w:rsid w:val="D1DD2C33"/>
    <w:rsid w:val="D2FEC1C1"/>
    <w:rsid w:val="D2FF1D4C"/>
    <w:rsid w:val="D2FF3B24"/>
    <w:rsid w:val="D39D898E"/>
    <w:rsid w:val="D3BF37F0"/>
    <w:rsid w:val="D3BF8B8F"/>
    <w:rsid w:val="D3F7F1F4"/>
    <w:rsid w:val="D3FF370F"/>
    <w:rsid w:val="D3FFDDA2"/>
    <w:rsid w:val="D4795FF5"/>
    <w:rsid w:val="D4A3DC8C"/>
    <w:rsid w:val="D4E9209E"/>
    <w:rsid w:val="D4F6E13D"/>
    <w:rsid w:val="D53F341D"/>
    <w:rsid w:val="D55F8F8E"/>
    <w:rsid w:val="D577B87C"/>
    <w:rsid w:val="D5793D7B"/>
    <w:rsid w:val="D57BABED"/>
    <w:rsid w:val="D5BFE6F0"/>
    <w:rsid w:val="D5DBAD26"/>
    <w:rsid w:val="D5EE937C"/>
    <w:rsid w:val="D5F3BA34"/>
    <w:rsid w:val="D5F52C3D"/>
    <w:rsid w:val="D5F7A278"/>
    <w:rsid w:val="D5FBA8C0"/>
    <w:rsid w:val="D5FF53DF"/>
    <w:rsid w:val="D65FA5E9"/>
    <w:rsid w:val="D67B7973"/>
    <w:rsid w:val="D67FC64F"/>
    <w:rsid w:val="D69D8424"/>
    <w:rsid w:val="D69F7E76"/>
    <w:rsid w:val="D6D9B346"/>
    <w:rsid w:val="D6DF43BE"/>
    <w:rsid w:val="D6EFBAAD"/>
    <w:rsid w:val="D6FE3CCC"/>
    <w:rsid w:val="D6FEFA29"/>
    <w:rsid w:val="D71F2DD4"/>
    <w:rsid w:val="D72BF120"/>
    <w:rsid w:val="D737B3AA"/>
    <w:rsid w:val="D73F41E3"/>
    <w:rsid w:val="D74B664F"/>
    <w:rsid w:val="D75D8DBD"/>
    <w:rsid w:val="D76BF353"/>
    <w:rsid w:val="D77B62F9"/>
    <w:rsid w:val="D7A1D8B9"/>
    <w:rsid w:val="D7B58BFE"/>
    <w:rsid w:val="D7BF072F"/>
    <w:rsid w:val="D7BF9078"/>
    <w:rsid w:val="D7BFCCD9"/>
    <w:rsid w:val="D7C70889"/>
    <w:rsid w:val="D7C742F8"/>
    <w:rsid w:val="D7CF7F0B"/>
    <w:rsid w:val="D7D75CFF"/>
    <w:rsid w:val="D7D8154A"/>
    <w:rsid w:val="D7DFA278"/>
    <w:rsid w:val="D7ED408B"/>
    <w:rsid w:val="D7EE4260"/>
    <w:rsid w:val="D7EEFCA1"/>
    <w:rsid w:val="D7EF7D10"/>
    <w:rsid w:val="D7F66659"/>
    <w:rsid w:val="D7F66BB2"/>
    <w:rsid w:val="D7F7C505"/>
    <w:rsid w:val="D7F7DE32"/>
    <w:rsid w:val="D7F7E12B"/>
    <w:rsid w:val="D7FA72BF"/>
    <w:rsid w:val="D7FBAD1B"/>
    <w:rsid w:val="D7FBDC3F"/>
    <w:rsid w:val="D7FF47A0"/>
    <w:rsid w:val="D7FF5EB5"/>
    <w:rsid w:val="D7FF79BD"/>
    <w:rsid w:val="D7FF89BB"/>
    <w:rsid w:val="D7FFAF02"/>
    <w:rsid w:val="D7FFB8D5"/>
    <w:rsid w:val="D7FFF852"/>
    <w:rsid w:val="D89D6C11"/>
    <w:rsid w:val="D89F890C"/>
    <w:rsid w:val="D8B23C43"/>
    <w:rsid w:val="D8DFEBDB"/>
    <w:rsid w:val="D8FE0D99"/>
    <w:rsid w:val="D93F1EFD"/>
    <w:rsid w:val="D977C35C"/>
    <w:rsid w:val="D97FC9F0"/>
    <w:rsid w:val="D98B8FA9"/>
    <w:rsid w:val="D9AB25F8"/>
    <w:rsid w:val="D9B7C57A"/>
    <w:rsid w:val="D9BBF27F"/>
    <w:rsid w:val="D9BF19D3"/>
    <w:rsid w:val="D9C66B9F"/>
    <w:rsid w:val="D9CE8239"/>
    <w:rsid w:val="D9DFD08F"/>
    <w:rsid w:val="D9E70C60"/>
    <w:rsid w:val="D9EFE322"/>
    <w:rsid w:val="D9EFF49D"/>
    <w:rsid w:val="D9F7ECDC"/>
    <w:rsid w:val="D9FB730E"/>
    <w:rsid w:val="D9FB9805"/>
    <w:rsid w:val="DA6DC66E"/>
    <w:rsid w:val="DA7EF34B"/>
    <w:rsid w:val="DAE2C6BC"/>
    <w:rsid w:val="DAEBF5B2"/>
    <w:rsid w:val="DAEFD282"/>
    <w:rsid w:val="DAF748FF"/>
    <w:rsid w:val="DAF81652"/>
    <w:rsid w:val="DAFD2420"/>
    <w:rsid w:val="DAFF6C5F"/>
    <w:rsid w:val="DAFFD4B4"/>
    <w:rsid w:val="DB1D6E41"/>
    <w:rsid w:val="DB31442F"/>
    <w:rsid w:val="DB363357"/>
    <w:rsid w:val="DB3FAFBC"/>
    <w:rsid w:val="DB5FA2FA"/>
    <w:rsid w:val="DB6F7D37"/>
    <w:rsid w:val="DB7F43F6"/>
    <w:rsid w:val="DB8ED9CE"/>
    <w:rsid w:val="DB9F71B0"/>
    <w:rsid w:val="DBAFAD83"/>
    <w:rsid w:val="DBB7BCF6"/>
    <w:rsid w:val="DBB94A0D"/>
    <w:rsid w:val="DBBE9065"/>
    <w:rsid w:val="DBBFFA4D"/>
    <w:rsid w:val="DBCB52EB"/>
    <w:rsid w:val="DBCF428F"/>
    <w:rsid w:val="DBDC9A3A"/>
    <w:rsid w:val="DBE3F330"/>
    <w:rsid w:val="DBE6DBE4"/>
    <w:rsid w:val="DBE7C823"/>
    <w:rsid w:val="DBEBFBE2"/>
    <w:rsid w:val="DBEE29B6"/>
    <w:rsid w:val="DBF05A27"/>
    <w:rsid w:val="DBF31252"/>
    <w:rsid w:val="DBF46347"/>
    <w:rsid w:val="DBF74D5C"/>
    <w:rsid w:val="DBFF2090"/>
    <w:rsid w:val="DBFF3FA5"/>
    <w:rsid w:val="DBFF450B"/>
    <w:rsid w:val="DBFFA459"/>
    <w:rsid w:val="DBFFC354"/>
    <w:rsid w:val="DBFFCA68"/>
    <w:rsid w:val="DC3DFF00"/>
    <w:rsid w:val="DC7F485F"/>
    <w:rsid w:val="DC8B46BA"/>
    <w:rsid w:val="DCAF9A6A"/>
    <w:rsid w:val="DCC5371D"/>
    <w:rsid w:val="DCC7C00A"/>
    <w:rsid w:val="DCDB6347"/>
    <w:rsid w:val="DCEFF9DA"/>
    <w:rsid w:val="DCF5C5B7"/>
    <w:rsid w:val="DCF6E2B1"/>
    <w:rsid w:val="DCF816C0"/>
    <w:rsid w:val="DCFF8AA7"/>
    <w:rsid w:val="DCFFF274"/>
    <w:rsid w:val="DD2FE072"/>
    <w:rsid w:val="DD3EDB5D"/>
    <w:rsid w:val="DD558992"/>
    <w:rsid w:val="DD5FBDA2"/>
    <w:rsid w:val="DD6BDBF8"/>
    <w:rsid w:val="DD708399"/>
    <w:rsid w:val="DD79454D"/>
    <w:rsid w:val="DD794B25"/>
    <w:rsid w:val="DD7CAC60"/>
    <w:rsid w:val="DD7FA107"/>
    <w:rsid w:val="DD7FA55D"/>
    <w:rsid w:val="DD7FE06E"/>
    <w:rsid w:val="DD7FF56D"/>
    <w:rsid w:val="DD9FBE77"/>
    <w:rsid w:val="DD9FC650"/>
    <w:rsid w:val="DDBDE805"/>
    <w:rsid w:val="DDC5676F"/>
    <w:rsid w:val="DDDD7414"/>
    <w:rsid w:val="DDDE19E8"/>
    <w:rsid w:val="DDE2C6EB"/>
    <w:rsid w:val="DDE569B0"/>
    <w:rsid w:val="DDE59AAF"/>
    <w:rsid w:val="DDE70FC3"/>
    <w:rsid w:val="DDE77348"/>
    <w:rsid w:val="DDEE0480"/>
    <w:rsid w:val="DDEF6513"/>
    <w:rsid w:val="DDF150B9"/>
    <w:rsid w:val="DDFC29B3"/>
    <w:rsid w:val="DDFD503F"/>
    <w:rsid w:val="DDFE3F26"/>
    <w:rsid w:val="DDFF1B62"/>
    <w:rsid w:val="DDFF5451"/>
    <w:rsid w:val="DDFFB7A5"/>
    <w:rsid w:val="DE27DAAD"/>
    <w:rsid w:val="DE2EEE8D"/>
    <w:rsid w:val="DE33D826"/>
    <w:rsid w:val="DE3F675C"/>
    <w:rsid w:val="DE62736C"/>
    <w:rsid w:val="DE6A260C"/>
    <w:rsid w:val="DE6B65C1"/>
    <w:rsid w:val="DE7F5C39"/>
    <w:rsid w:val="DE9F16AD"/>
    <w:rsid w:val="DEA9EA33"/>
    <w:rsid w:val="DEABCAEE"/>
    <w:rsid w:val="DEBDC84E"/>
    <w:rsid w:val="DEBE5324"/>
    <w:rsid w:val="DEBEB012"/>
    <w:rsid w:val="DEBF0902"/>
    <w:rsid w:val="DEBF0D1F"/>
    <w:rsid w:val="DEBF4AD3"/>
    <w:rsid w:val="DEBF5029"/>
    <w:rsid w:val="DECFAF72"/>
    <w:rsid w:val="DED70012"/>
    <w:rsid w:val="DEDD044B"/>
    <w:rsid w:val="DEDD7621"/>
    <w:rsid w:val="DEDE12C3"/>
    <w:rsid w:val="DEDF5EE8"/>
    <w:rsid w:val="DEDF71DD"/>
    <w:rsid w:val="DEE24551"/>
    <w:rsid w:val="DEE741B4"/>
    <w:rsid w:val="DEE76714"/>
    <w:rsid w:val="DEED80DF"/>
    <w:rsid w:val="DEEEF78B"/>
    <w:rsid w:val="DEEEFAD9"/>
    <w:rsid w:val="DEEF4D15"/>
    <w:rsid w:val="DEEFBB32"/>
    <w:rsid w:val="DEEFE18B"/>
    <w:rsid w:val="DEF24E32"/>
    <w:rsid w:val="DEF32241"/>
    <w:rsid w:val="DEF40BC8"/>
    <w:rsid w:val="DEF5912A"/>
    <w:rsid w:val="DEF5D9FE"/>
    <w:rsid w:val="DEF634BE"/>
    <w:rsid w:val="DEF74B1A"/>
    <w:rsid w:val="DEFA5213"/>
    <w:rsid w:val="DEFB76C6"/>
    <w:rsid w:val="DEFD5217"/>
    <w:rsid w:val="DEFDB8F4"/>
    <w:rsid w:val="DEFE5BF7"/>
    <w:rsid w:val="DEFFC228"/>
    <w:rsid w:val="DEFFD77F"/>
    <w:rsid w:val="DEFFD78D"/>
    <w:rsid w:val="DF192B2A"/>
    <w:rsid w:val="DF1E1233"/>
    <w:rsid w:val="DF276DE9"/>
    <w:rsid w:val="DF2F0FFD"/>
    <w:rsid w:val="DF2F666E"/>
    <w:rsid w:val="DF310C0A"/>
    <w:rsid w:val="DF3F2F5E"/>
    <w:rsid w:val="DF4749E6"/>
    <w:rsid w:val="DF4FE5FF"/>
    <w:rsid w:val="DF56840D"/>
    <w:rsid w:val="DF57F191"/>
    <w:rsid w:val="DF5F302F"/>
    <w:rsid w:val="DF5F653E"/>
    <w:rsid w:val="DF5FAAC6"/>
    <w:rsid w:val="DF5FAB08"/>
    <w:rsid w:val="DF628A0D"/>
    <w:rsid w:val="DF6E5805"/>
    <w:rsid w:val="DF6F3818"/>
    <w:rsid w:val="DF6F8486"/>
    <w:rsid w:val="DF77ABFD"/>
    <w:rsid w:val="DF793402"/>
    <w:rsid w:val="DF7B770C"/>
    <w:rsid w:val="DF7DA3FB"/>
    <w:rsid w:val="DF7F1DDE"/>
    <w:rsid w:val="DF7F3308"/>
    <w:rsid w:val="DF7FCCC4"/>
    <w:rsid w:val="DF7FE0A5"/>
    <w:rsid w:val="DF8056AD"/>
    <w:rsid w:val="DF8F0C13"/>
    <w:rsid w:val="DF8F16CC"/>
    <w:rsid w:val="DF9BB087"/>
    <w:rsid w:val="DFAB35D3"/>
    <w:rsid w:val="DFB3EC73"/>
    <w:rsid w:val="DFB78D9A"/>
    <w:rsid w:val="DFB83A5D"/>
    <w:rsid w:val="DFBA54DA"/>
    <w:rsid w:val="DFBB0B2D"/>
    <w:rsid w:val="DFBB5BFB"/>
    <w:rsid w:val="DFBB6189"/>
    <w:rsid w:val="DFBBD051"/>
    <w:rsid w:val="DFBCE79C"/>
    <w:rsid w:val="DFBDA702"/>
    <w:rsid w:val="DFBF25C0"/>
    <w:rsid w:val="DFBF493B"/>
    <w:rsid w:val="DFBFEDD3"/>
    <w:rsid w:val="DFC0D920"/>
    <w:rsid w:val="DFC517AE"/>
    <w:rsid w:val="DFC8C970"/>
    <w:rsid w:val="DFCED844"/>
    <w:rsid w:val="DFD5AF31"/>
    <w:rsid w:val="DFD60087"/>
    <w:rsid w:val="DFD6E967"/>
    <w:rsid w:val="DFDC405C"/>
    <w:rsid w:val="DFDD18CB"/>
    <w:rsid w:val="DFDD9AAD"/>
    <w:rsid w:val="DFDF3702"/>
    <w:rsid w:val="DFDF7049"/>
    <w:rsid w:val="DFDFAB69"/>
    <w:rsid w:val="DFDFE8CB"/>
    <w:rsid w:val="DFE77003"/>
    <w:rsid w:val="DFE779D2"/>
    <w:rsid w:val="DFE79355"/>
    <w:rsid w:val="DFED01DF"/>
    <w:rsid w:val="DFED1F12"/>
    <w:rsid w:val="DFEE7169"/>
    <w:rsid w:val="DFEE8A1A"/>
    <w:rsid w:val="DFEF95E4"/>
    <w:rsid w:val="DFEFFB83"/>
    <w:rsid w:val="DFF26D4B"/>
    <w:rsid w:val="DFF39FC7"/>
    <w:rsid w:val="DFF424E3"/>
    <w:rsid w:val="DFF507F2"/>
    <w:rsid w:val="DFF6293E"/>
    <w:rsid w:val="DFF660C3"/>
    <w:rsid w:val="DFF693B5"/>
    <w:rsid w:val="DFF7343A"/>
    <w:rsid w:val="DFF747AD"/>
    <w:rsid w:val="DFF7D7F2"/>
    <w:rsid w:val="DFF9A73A"/>
    <w:rsid w:val="DFF9E00D"/>
    <w:rsid w:val="DFFAF7E8"/>
    <w:rsid w:val="DFFB7B39"/>
    <w:rsid w:val="DFFD07BC"/>
    <w:rsid w:val="DFFD0EDF"/>
    <w:rsid w:val="DFFD5C8A"/>
    <w:rsid w:val="DFFD7EEF"/>
    <w:rsid w:val="DFFD83E6"/>
    <w:rsid w:val="DFFD8569"/>
    <w:rsid w:val="DFFD9FC3"/>
    <w:rsid w:val="DFFE18A0"/>
    <w:rsid w:val="DFFE263D"/>
    <w:rsid w:val="DFFE87E1"/>
    <w:rsid w:val="DFFEFDBA"/>
    <w:rsid w:val="DFFF02EE"/>
    <w:rsid w:val="DFFF10C0"/>
    <w:rsid w:val="DFFF31FD"/>
    <w:rsid w:val="DFFF5294"/>
    <w:rsid w:val="DFFF8FDB"/>
    <w:rsid w:val="E01DAB4F"/>
    <w:rsid w:val="E077DBB9"/>
    <w:rsid w:val="E0F185FA"/>
    <w:rsid w:val="E1390F64"/>
    <w:rsid w:val="E16FCB3C"/>
    <w:rsid w:val="E17D4743"/>
    <w:rsid w:val="E1A589CC"/>
    <w:rsid w:val="E1FF5E1C"/>
    <w:rsid w:val="E2B7CEA4"/>
    <w:rsid w:val="E2DA49FD"/>
    <w:rsid w:val="E2EF3F70"/>
    <w:rsid w:val="E2FE5A79"/>
    <w:rsid w:val="E2FF4A54"/>
    <w:rsid w:val="E37E0110"/>
    <w:rsid w:val="E37FE165"/>
    <w:rsid w:val="E3BF3B76"/>
    <w:rsid w:val="E3DF8C43"/>
    <w:rsid w:val="E3F3F04F"/>
    <w:rsid w:val="E3FFC8BC"/>
    <w:rsid w:val="E43BBAD0"/>
    <w:rsid w:val="E45E3BA7"/>
    <w:rsid w:val="E47FA94F"/>
    <w:rsid w:val="E48FBA18"/>
    <w:rsid w:val="E4BFE732"/>
    <w:rsid w:val="E4FEB3F0"/>
    <w:rsid w:val="E53B85F1"/>
    <w:rsid w:val="E55FC912"/>
    <w:rsid w:val="E57AB32E"/>
    <w:rsid w:val="E57BC48B"/>
    <w:rsid w:val="E57FDE45"/>
    <w:rsid w:val="E598A458"/>
    <w:rsid w:val="E5AEBA1C"/>
    <w:rsid w:val="E5B329E2"/>
    <w:rsid w:val="E5D9E165"/>
    <w:rsid w:val="E5DF11B6"/>
    <w:rsid w:val="E5DFE17C"/>
    <w:rsid w:val="E5F3B88F"/>
    <w:rsid w:val="E5F6C87A"/>
    <w:rsid w:val="E5F74CEF"/>
    <w:rsid w:val="E5FC2E9B"/>
    <w:rsid w:val="E5FE5959"/>
    <w:rsid w:val="E5FF51BE"/>
    <w:rsid w:val="E5FFAE57"/>
    <w:rsid w:val="E617FCC1"/>
    <w:rsid w:val="E61D76B9"/>
    <w:rsid w:val="E6377A1C"/>
    <w:rsid w:val="E66635B4"/>
    <w:rsid w:val="E666377C"/>
    <w:rsid w:val="E6A30361"/>
    <w:rsid w:val="E6A5E62A"/>
    <w:rsid w:val="E6ADC2C6"/>
    <w:rsid w:val="E6BA123B"/>
    <w:rsid w:val="E6C6BD75"/>
    <w:rsid w:val="E6DA7F80"/>
    <w:rsid w:val="E6E14BF5"/>
    <w:rsid w:val="E6F3AD64"/>
    <w:rsid w:val="E6F3AFC9"/>
    <w:rsid w:val="E6F76F5E"/>
    <w:rsid w:val="E6F7D356"/>
    <w:rsid w:val="E6FF79E2"/>
    <w:rsid w:val="E7179281"/>
    <w:rsid w:val="E73B05D1"/>
    <w:rsid w:val="E73F6B04"/>
    <w:rsid w:val="E757AE27"/>
    <w:rsid w:val="E779B848"/>
    <w:rsid w:val="E77B9E72"/>
    <w:rsid w:val="E77F4A4C"/>
    <w:rsid w:val="E79B11D0"/>
    <w:rsid w:val="E79DACFB"/>
    <w:rsid w:val="E79F32E1"/>
    <w:rsid w:val="E7AB2A09"/>
    <w:rsid w:val="E7B74D7F"/>
    <w:rsid w:val="E7BE0F41"/>
    <w:rsid w:val="E7C3578F"/>
    <w:rsid w:val="E7D8D2ED"/>
    <w:rsid w:val="E7D97602"/>
    <w:rsid w:val="E7DB04EF"/>
    <w:rsid w:val="E7DB5FF7"/>
    <w:rsid w:val="E7DF836B"/>
    <w:rsid w:val="E7DF8D7B"/>
    <w:rsid w:val="E7DFE156"/>
    <w:rsid w:val="E7DFFE88"/>
    <w:rsid w:val="E7E26653"/>
    <w:rsid w:val="E7EE9AFB"/>
    <w:rsid w:val="E7EF12FE"/>
    <w:rsid w:val="E7EF9AD3"/>
    <w:rsid w:val="E7F603C1"/>
    <w:rsid w:val="E7F6479E"/>
    <w:rsid w:val="E7F6E2F6"/>
    <w:rsid w:val="E7F7F76B"/>
    <w:rsid w:val="E7F96398"/>
    <w:rsid w:val="E7F9720D"/>
    <w:rsid w:val="E7F9D6E1"/>
    <w:rsid w:val="E7FB542A"/>
    <w:rsid w:val="E7FE1B22"/>
    <w:rsid w:val="E7FE726A"/>
    <w:rsid w:val="E7FEAB94"/>
    <w:rsid w:val="E7FEE103"/>
    <w:rsid w:val="E7FF8356"/>
    <w:rsid w:val="E7FFE74D"/>
    <w:rsid w:val="E8775CD9"/>
    <w:rsid w:val="E8F9E03C"/>
    <w:rsid w:val="E8FDA81F"/>
    <w:rsid w:val="E917E4E6"/>
    <w:rsid w:val="E9395789"/>
    <w:rsid w:val="E96D2DBF"/>
    <w:rsid w:val="E96D677F"/>
    <w:rsid w:val="E97B662F"/>
    <w:rsid w:val="E9BE02B5"/>
    <w:rsid w:val="E9BF8CA9"/>
    <w:rsid w:val="E9CBD6A1"/>
    <w:rsid w:val="E9D92981"/>
    <w:rsid w:val="E9DAF807"/>
    <w:rsid w:val="E9DE52AD"/>
    <w:rsid w:val="E9E3DB12"/>
    <w:rsid w:val="E9F7881F"/>
    <w:rsid w:val="E9F79828"/>
    <w:rsid w:val="E9FF885A"/>
    <w:rsid w:val="EA0F531E"/>
    <w:rsid w:val="EA798499"/>
    <w:rsid w:val="EA7FECAA"/>
    <w:rsid w:val="EA937705"/>
    <w:rsid w:val="EABF603E"/>
    <w:rsid w:val="EAEF8843"/>
    <w:rsid w:val="EAFB168E"/>
    <w:rsid w:val="EAFB7D91"/>
    <w:rsid w:val="EAFBCDE6"/>
    <w:rsid w:val="EB1DBEF7"/>
    <w:rsid w:val="EB2B712B"/>
    <w:rsid w:val="EB2FCA5A"/>
    <w:rsid w:val="EB398B4D"/>
    <w:rsid w:val="EB3A32FE"/>
    <w:rsid w:val="EB3D2DE0"/>
    <w:rsid w:val="EB6EEC7F"/>
    <w:rsid w:val="EB6F1139"/>
    <w:rsid w:val="EB77D66C"/>
    <w:rsid w:val="EB7BD646"/>
    <w:rsid w:val="EB7E2649"/>
    <w:rsid w:val="EB7F373D"/>
    <w:rsid w:val="EB7F5964"/>
    <w:rsid w:val="EB8C7801"/>
    <w:rsid w:val="EB9674AC"/>
    <w:rsid w:val="EB98D0BC"/>
    <w:rsid w:val="EB9F4A43"/>
    <w:rsid w:val="EBB92BF1"/>
    <w:rsid w:val="EBBC9E77"/>
    <w:rsid w:val="EBBD45A7"/>
    <w:rsid w:val="EBBF3F11"/>
    <w:rsid w:val="EBC331F4"/>
    <w:rsid w:val="EBD1A196"/>
    <w:rsid w:val="EBD71842"/>
    <w:rsid w:val="EBD7B92E"/>
    <w:rsid w:val="EBDD3F51"/>
    <w:rsid w:val="EBDE3D49"/>
    <w:rsid w:val="EBDF2825"/>
    <w:rsid w:val="EBDF3331"/>
    <w:rsid w:val="EBEAD4F8"/>
    <w:rsid w:val="EBED7753"/>
    <w:rsid w:val="EBEDB300"/>
    <w:rsid w:val="EBEF1340"/>
    <w:rsid w:val="EBEFF71A"/>
    <w:rsid w:val="EBF3D4DB"/>
    <w:rsid w:val="EBF4CAE2"/>
    <w:rsid w:val="EBF79345"/>
    <w:rsid w:val="EBF7CA94"/>
    <w:rsid w:val="EBF7FC40"/>
    <w:rsid w:val="EBF82614"/>
    <w:rsid w:val="EBF9605D"/>
    <w:rsid w:val="EBFAF435"/>
    <w:rsid w:val="EBFBA71F"/>
    <w:rsid w:val="EBFBDE45"/>
    <w:rsid w:val="EBFD7412"/>
    <w:rsid w:val="EBFDFDD5"/>
    <w:rsid w:val="EBFE0272"/>
    <w:rsid w:val="EBFF112E"/>
    <w:rsid w:val="EBFF451D"/>
    <w:rsid w:val="EBFF49FA"/>
    <w:rsid w:val="EBFF4AFC"/>
    <w:rsid w:val="EBFF7003"/>
    <w:rsid w:val="EBFFD1A9"/>
    <w:rsid w:val="EC2F94B0"/>
    <w:rsid w:val="EC32DACC"/>
    <w:rsid w:val="EC5ED7D0"/>
    <w:rsid w:val="EC6C61CD"/>
    <w:rsid w:val="EC6F17B6"/>
    <w:rsid w:val="EC7D63D6"/>
    <w:rsid w:val="ECA56542"/>
    <w:rsid w:val="ECBCD50D"/>
    <w:rsid w:val="ECD9B66D"/>
    <w:rsid w:val="ECDF0B3F"/>
    <w:rsid w:val="ECE80053"/>
    <w:rsid w:val="ECF34695"/>
    <w:rsid w:val="ECF9B113"/>
    <w:rsid w:val="ECFD2C08"/>
    <w:rsid w:val="ECFDBFCB"/>
    <w:rsid w:val="ECFFA17F"/>
    <w:rsid w:val="ECFFD036"/>
    <w:rsid w:val="ED368056"/>
    <w:rsid w:val="ED4E3B4B"/>
    <w:rsid w:val="ED5DC30D"/>
    <w:rsid w:val="ED6F0607"/>
    <w:rsid w:val="ED792D2D"/>
    <w:rsid w:val="ED7A3EE4"/>
    <w:rsid w:val="ED7D3D52"/>
    <w:rsid w:val="ED7D99FD"/>
    <w:rsid w:val="ED7F2752"/>
    <w:rsid w:val="ED7F2E2D"/>
    <w:rsid w:val="ED7F9E95"/>
    <w:rsid w:val="ED97CF6C"/>
    <w:rsid w:val="ED9F2B64"/>
    <w:rsid w:val="EDAB3F47"/>
    <w:rsid w:val="EDAEC201"/>
    <w:rsid w:val="EDB66EA7"/>
    <w:rsid w:val="EDBB3DE2"/>
    <w:rsid w:val="EDBBEB01"/>
    <w:rsid w:val="EDBD36C1"/>
    <w:rsid w:val="EDBD919D"/>
    <w:rsid w:val="EDBFF14F"/>
    <w:rsid w:val="EDCB484C"/>
    <w:rsid w:val="EDCBF78B"/>
    <w:rsid w:val="EDCFBBA7"/>
    <w:rsid w:val="EDD71B0B"/>
    <w:rsid w:val="EDDD05C4"/>
    <w:rsid w:val="EDDF6BB7"/>
    <w:rsid w:val="EDE8C828"/>
    <w:rsid w:val="EDEE0495"/>
    <w:rsid w:val="EDEF69A5"/>
    <w:rsid w:val="EDEF7BBD"/>
    <w:rsid w:val="EDEFF981"/>
    <w:rsid w:val="EDF345D9"/>
    <w:rsid w:val="EDF65096"/>
    <w:rsid w:val="EDF66722"/>
    <w:rsid w:val="EDF71FE1"/>
    <w:rsid w:val="EDF7FBC2"/>
    <w:rsid w:val="EDF9BEB3"/>
    <w:rsid w:val="EDF9E693"/>
    <w:rsid w:val="EDFB5869"/>
    <w:rsid w:val="EDFB731E"/>
    <w:rsid w:val="EDFD5BBD"/>
    <w:rsid w:val="EDFE847F"/>
    <w:rsid w:val="EDFF0520"/>
    <w:rsid w:val="EDFF500A"/>
    <w:rsid w:val="EDFF8EBE"/>
    <w:rsid w:val="EDFF9B19"/>
    <w:rsid w:val="EDFFA413"/>
    <w:rsid w:val="EDFFA6C1"/>
    <w:rsid w:val="EDFFBCA7"/>
    <w:rsid w:val="EE1712F1"/>
    <w:rsid w:val="EE375085"/>
    <w:rsid w:val="EE37987F"/>
    <w:rsid w:val="EE57A299"/>
    <w:rsid w:val="EE6F23D2"/>
    <w:rsid w:val="EE7E8843"/>
    <w:rsid w:val="EE7F1D23"/>
    <w:rsid w:val="EE9F9BAA"/>
    <w:rsid w:val="EEB732CB"/>
    <w:rsid w:val="EEBE8CC9"/>
    <w:rsid w:val="EEBF8415"/>
    <w:rsid w:val="EEBFA33F"/>
    <w:rsid w:val="EECDD914"/>
    <w:rsid w:val="EECF5B50"/>
    <w:rsid w:val="EECFF6AD"/>
    <w:rsid w:val="EEDCD53C"/>
    <w:rsid w:val="EEDFC06F"/>
    <w:rsid w:val="EEE5CBD7"/>
    <w:rsid w:val="EEE843C3"/>
    <w:rsid w:val="EEEE7592"/>
    <w:rsid w:val="EEEF58A4"/>
    <w:rsid w:val="EEEFB2D0"/>
    <w:rsid w:val="EEF71B81"/>
    <w:rsid w:val="EEF7BBCA"/>
    <w:rsid w:val="EEFB4CB0"/>
    <w:rsid w:val="EEFBB2E1"/>
    <w:rsid w:val="EEFF0A3F"/>
    <w:rsid w:val="EEFF6E37"/>
    <w:rsid w:val="EEFF846F"/>
    <w:rsid w:val="EEFF92DF"/>
    <w:rsid w:val="EEFF9FEA"/>
    <w:rsid w:val="EEFFA9A9"/>
    <w:rsid w:val="EEFFB19C"/>
    <w:rsid w:val="EEFFECF8"/>
    <w:rsid w:val="EF1EF698"/>
    <w:rsid w:val="EF2FFC47"/>
    <w:rsid w:val="EF32C270"/>
    <w:rsid w:val="EF3F7759"/>
    <w:rsid w:val="EF4370A7"/>
    <w:rsid w:val="EF46F223"/>
    <w:rsid w:val="EF51272C"/>
    <w:rsid w:val="EF5A41C3"/>
    <w:rsid w:val="EF5ED144"/>
    <w:rsid w:val="EF67489B"/>
    <w:rsid w:val="EF67F46A"/>
    <w:rsid w:val="EF6B3C06"/>
    <w:rsid w:val="EF6C9457"/>
    <w:rsid w:val="EF6F0770"/>
    <w:rsid w:val="EF6FB545"/>
    <w:rsid w:val="EF73484D"/>
    <w:rsid w:val="EF74C658"/>
    <w:rsid w:val="EF7702C4"/>
    <w:rsid w:val="EF772169"/>
    <w:rsid w:val="EF786527"/>
    <w:rsid w:val="EF7A95B1"/>
    <w:rsid w:val="EF7B1476"/>
    <w:rsid w:val="EF7B92D1"/>
    <w:rsid w:val="EF7B9C10"/>
    <w:rsid w:val="EF7BE96C"/>
    <w:rsid w:val="EF7F3FF8"/>
    <w:rsid w:val="EF7F4936"/>
    <w:rsid w:val="EF7F953D"/>
    <w:rsid w:val="EF856FD4"/>
    <w:rsid w:val="EF87944E"/>
    <w:rsid w:val="EF8FB82A"/>
    <w:rsid w:val="EF9D04E6"/>
    <w:rsid w:val="EF9FE367"/>
    <w:rsid w:val="EFA3A24A"/>
    <w:rsid w:val="EFA77374"/>
    <w:rsid w:val="EFAE3DD3"/>
    <w:rsid w:val="EFB35062"/>
    <w:rsid w:val="EFB5A25A"/>
    <w:rsid w:val="EFB692DF"/>
    <w:rsid w:val="EFB7D1B0"/>
    <w:rsid w:val="EFBE9F27"/>
    <w:rsid w:val="EFBF667C"/>
    <w:rsid w:val="EFBF73CE"/>
    <w:rsid w:val="EFBFABCC"/>
    <w:rsid w:val="EFC5C9B9"/>
    <w:rsid w:val="EFCB8CFB"/>
    <w:rsid w:val="EFD57C7B"/>
    <w:rsid w:val="EFD7E9D4"/>
    <w:rsid w:val="EFD91E9B"/>
    <w:rsid w:val="EFD9D118"/>
    <w:rsid w:val="EFDF3B40"/>
    <w:rsid w:val="EFDF5BB1"/>
    <w:rsid w:val="EFE77D76"/>
    <w:rsid w:val="EFEACCF5"/>
    <w:rsid w:val="EFEAFB6C"/>
    <w:rsid w:val="EFEBCCD1"/>
    <w:rsid w:val="EFEE1B0C"/>
    <w:rsid w:val="EFEE623E"/>
    <w:rsid w:val="EFEEF525"/>
    <w:rsid w:val="EFEF10F3"/>
    <w:rsid w:val="EFEF2AF7"/>
    <w:rsid w:val="EFEF2D4C"/>
    <w:rsid w:val="EFEF7D91"/>
    <w:rsid w:val="EFEFBC81"/>
    <w:rsid w:val="EFEFC4AF"/>
    <w:rsid w:val="EFEFE939"/>
    <w:rsid w:val="EFEFFB43"/>
    <w:rsid w:val="EFF262B6"/>
    <w:rsid w:val="EFF330D1"/>
    <w:rsid w:val="EFF38CB1"/>
    <w:rsid w:val="EFF3FAC1"/>
    <w:rsid w:val="EFF4C922"/>
    <w:rsid w:val="EFF58F35"/>
    <w:rsid w:val="EFF5FE52"/>
    <w:rsid w:val="EFF73208"/>
    <w:rsid w:val="EFF73C7F"/>
    <w:rsid w:val="EFF75FD4"/>
    <w:rsid w:val="EFF7A0C1"/>
    <w:rsid w:val="EFF7E594"/>
    <w:rsid w:val="EFF7F69D"/>
    <w:rsid w:val="EFFA0D20"/>
    <w:rsid w:val="EFFA46CA"/>
    <w:rsid w:val="EFFB1FA4"/>
    <w:rsid w:val="EFFBEF59"/>
    <w:rsid w:val="EFFCF434"/>
    <w:rsid w:val="EFFD55AF"/>
    <w:rsid w:val="EFFDA624"/>
    <w:rsid w:val="EFFDD1C9"/>
    <w:rsid w:val="EFFF1405"/>
    <w:rsid w:val="EFFF23AB"/>
    <w:rsid w:val="EFFF28C1"/>
    <w:rsid w:val="EFFF3F44"/>
    <w:rsid w:val="EFFF4AF6"/>
    <w:rsid w:val="EFFF587E"/>
    <w:rsid w:val="EFFF71D1"/>
    <w:rsid w:val="EFFF7E67"/>
    <w:rsid w:val="EFFFA05B"/>
    <w:rsid w:val="EFFFAACE"/>
    <w:rsid w:val="EFFFB485"/>
    <w:rsid w:val="EFFFEBA2"/>
    <w:rsid w:val="F0FF04EB"/>
    <w:rsid w:val="F15554D3"/>
    <w:rsid w:val="F173B7D4"/>
    <w:rsid w:val="F1756C89"/>
    <w:rsid w:val="F17BB4A1"/>
    <w:rsid w:val="F1AC723C"/>
    <w:rsid w:val="F1AF8672"/>
    <w:rsid w:val="F1DE1005"/>
    <w:rsid w:val="F1DFA64C"/>
    <w:rsid w:val="F1EEC626"/>
    <w:rsid w:val="F1F73F96"/>
    <w:rsid w:val="F1F7BF7D"/>
    <w:rsid w:val="F1FB893B"/>
    <w:rsid w:val="F223568F"/>
    <w:rsid w:val="F26FF4F0"/>
    <w:rsid w:val="F2B9826C"/>
    <w:rsid w:val="F2BF107A"/>
    <w:rsid w:val="F2BFBEF5"/>
    <w:rsid w:val="F2D30A98"/>
    <w:rsid w:val="F2DD7DE2"/>
    <w:rsid w:val="F2DFFBDB"/>
    <w:rsid w:val="F2E35302"/>
    <w:rsid w:val="F2EE8D86"/>
    <w:rsid w:val="F2FBAEC4"/>
    <w:rsid w:val="F2FFA144"/>
    <w:rsid w:val="F2FFB07D"/>
    <w:rsid w:val="F2FFE13F"/>
    <w:rsid w:val="F3033C8E"/>
    <w:rsid w:val="F31D984D"/>
    <w:rsid w:val="F32FD162"/>
    <w:rsid w:val="F35F11D4"/>
    <w:rsid w:val="F36D0A99"/>
    <w:rsid w:val="F373C983"/>
    <w:rsid w:val="F3750DC8"/>
    <w:rsid w:val="F37F66F2"/>
    <w:rsid w:val="F3A5F590"/>
    <w:rsid w:val="F3A7742F"/>
    <w:rsid w:val="F3A94B97"/>
    <w:rsid w:val="F3AD34BB"/>
    <w:rsid w:val="F3BB036B"/>
    <w:rsid w:val="F3BD5A75"/>
    <w:rsid w:val="F3C5506C"/>
    <w:rsid w:val="F3CF3DDE"/>
    <w:rsid w:val="F3CF50B9"/>
    <w:rsid w:val="F3D69A32"/>
    <w:rsid w:val="F3D7076A"/>
    <w:rsid w:val="F3DA7E3D"/>
    <w:rsid w:val="F3DACD74"/>
    <w:rsid w:val="F3DEDEB2"/>
    <w:rsid w:val="F3DF3237"/>
    <w:rsid w:val="F3DF6A97"/>
    <w:rsid w:val="F3DF82E5"/>
    <w:rsid w:val="F3EBDDFA"/>
    <w:rsid w:val="F3ECC92D"/>
    <w:rsid w:val="F3EF6A8A"/>
    <w:rsid w:val="F3EFD40C"/>
    <w:rsid w:val="F3F32832"/>
    <w:rsid w:val="F3FBBCAB"/>
    <w:rsid w:val="F3FD9867"/>
    <w:rsid w:val="F3FF71B8"/>
    <w:rsid w:val="F3FF8AF0"/>
    <w:rsid w:val="F41782AB"/>
    <w:rsid w:val="F41ABB73"/>
    <w:rsid w:val="F43C8B99"/>
    <w:rsid w:val="F44A9C3D"/>
    <w:rsid w:val="F47F9C3F"/>
    <w:rsid w:val="F4A73919"/>
    <w:rsid w:val="F4B7F2F2"/>
    <w:rsid w:val="F4CF77A0"/>
    <w:rsid w:val="F4D39C8C"/>
    <w:rsid w:val="F4D71C9E"/>
    <w:rsid w:val="F4DF6A78"/>
    <w:rsid w:val="F4E7FD40"/>
    <w:rsid w:val="F4EFDDAD"/>
    <w:rsid w:val="F4F77E6F"/>
    <w:rsid w:val="F4F7FC14"/>
    <w:rsid w:val="F4FA3EEF"/>
    <w:rsid w:val="F4FBC050"/>
    <w:rsid w:val="F5155C0D"/>
    <w:rsid w:val="F51B854D"/>
    <w:rsid w:val="F5233F19"/>
    <w:rsid w:val="F53E0181"/>
    <w:rsid w:val="F557FEC7"/>
    <w:rsid w:val="F55B5BFA"/>
    <w:rsid w:val="F577FECB"/>
    <w:rsid w:val="F579C700"/>
    <w:rsid w:val="F57DAFC9"/>
    <w:rsid w:val="F57F615A"/>
    <w:rsid w:val="F57FE083"/>
    <w:rsid w:val="F582DF2C"/>
    <w:rsid w:val="F591D1C8"/>
    <w:rsid w:val="F5A3BD6E"/>
    <w:rsid w:val="F5AF0E41"/>
    <w:rsid w:val="F5BE838A"/>
    <w:rsid w:val="F5BFF7F4"/>
    <w:rsid w:val="F5BFFBAA"/>
    <w:rsid w:val="F5C3A5EE"/>
    <w:rsid w:val="F5CB1CFA"/>
    <w:rsid w:val="F5CD407D"/>
    <w:rsid w:val="F5CE1C7E"/>
    <w:rsid w:val="F5CFA5EF"/>
    <w:rsid w:val="F5D76C96"/>
    <w:rsid w:val="F5E0450D"/>
    <w:rsid w:val="F5E55D13"/>
    <w:rsid w:val="F5E63488"/>
    <w:rsid w:val="F5E789BC"/>
    <w:rsid w:val="F5E9F628"/>
    <w:rsid w:val="F5EFA82F"/>
    <w:rsid w:val="F5EFB91F"/>
    <w:rsid w:val="F5F24868"/>
    <w:rsid w:val="F5F6A7D6"/>
    <w:rsid w:val="F5F6D799"/>
    <w:rsid w:val="F5F7C748"/>
    <w:rsid w:val="F5F7EEC7"/>
    <w:rsid w:val="F5F918F1"/>
    <w:rsid w:val="F5F988C3"/>
    <w:rsid w:val="F5FB3A94"/>
    <w:rsid w:val="F5FBA9C9"/>
    <w:rsid w:val="F5FBCF70"/>
    <w:rsid w:val="F5FD97A7"/>
    <w:rsid w:val="F5FE86B1"/>
    <w:rsid w:val="F5FF402F"/>
    <w:rsid w:val="F5FF961D"/>
    <w:rsid w:val="F5FFB7CD"/>
    <w:rsid w:val="F5FFD2CA"/>
    <w:rsid w:val="F610E7CA"/>
    <w:rsid w:val="F63E0C27"/>
    <w:rsid w:val="F65B1C95"/>
    <w:rsid w:val="F66F448A"/>
    <w:rsid w:val="F67647BF"/>
    <w:rsid w:val="F67744BD"/>
    <w:rsid w:val="F67FE7DE"/>
    <w:rsid w:val="F69F627C"/>
    <w:rsid w:val="F6BD5EB8"/>
    <w:rsid w:val="F6BDD981"/>
    <w:rsid w:val="F6BE0960"/>
    <w:rsid w:val="F6BF384D"/>
    <w:rsid w:val="F6BF63A1"/>
    <w:rsid w:val="F6D33B3F"/>
    <w:rsid w:val="F6D7A41A"/>
    <w:rsid w:val="F6DBF163"/>
    <w:rsid w:val="F6DF80D0"/>
    <w:rsid w:val="F6E38FD3"/>
    <w:rsid w:val="F6E9DE64"/>
    <w:rsid w:val="F6EC7C5C"/>
    <w:rsid w:val="F6EF9169"/>
    <w:rsid w:val="F6F22F32"/>
    <w:rsid w:val="F6F3932A"/>
    <w:rsid w:val="F6F3A807"/>
    <w:rsid w:val="F6F508EB"/>
    <w:rsid w:val="F6F543F5"/>
    <w:rsid w:val="F6F6458A"/>
    <w:rsid w:val="F6F64F82"/>
    <w:rsid w:val="F6F6F6EE"/>
    <w:rsid w:val="F6F70D13"/>
    <w:rsid w:val="F6F77225"/>
    <w:rsid w:val="F6F7FC0D"/>
    <w:rsid w:val="F6FE655D"/>
    <w:rsid w:val="F6FFB7B4"/>
    <w:rsid w:val="F6FFBA20"/>
    <w:rsid w:val="F6FFBCDE"/>
    <w:rsid w:val="F6FFC6B1"/>
    <w:rsid w:val="F6FFDBA4"/>
    <w:rsid w:val="F71D9F9F"/>
    <w:rsid w:val="F71E1EDB"/>
    <w:rsid w:val="F71F6F4A"/>
    <w:rsid w:val="F72B6A77"/>
    <w:rsid w:val="F73DB20E"/>
    <w:rsid w:val="F73F8584"/>
    <w:rsid w:val="F747A996"/>
    <w:rsid w:val="F74B5194"/>
    <w:rsid w:val="F7550D86"/>
    <w:rsid w:val="F762FF5C"/>
    <w:rsid w:val="F768964E"/>
    <w:rsid w:val="F76B3520"/>
    <w:rsid w:val="F76BA8D7"/>
    <w:rsid w:val="F76C2683"/>
    <w:rsid w:val="F76E4A96"/>
    <w:rsid w:val="F76FDC9C"/>
    <w:rsid w:val="F7725146"/>
    <w:rsid w:val="F7772A92"/>
    <w:rsid w:val="F777428F"/>
    <w:rsid w:val="F777CEEC"/>
    <w:rsid w:val="F77AAD52"/>
    <w:rsid w:val="F77B93D1"/>
    <w:rsid w:val="F77BFE46"/>
    <w:rsid w:val="F77DEF45"/>
    <w:rsid w:val="F77DF414"/>
    <w:rsid w:val="F77E17D2"/>
    <w:rsid w:val="F77EA3B5"/>
    <w:rsid w:val="F77EB4AD"/>
    <w:rsid w:val="F77F118B"/>
    <w:rsid w:val="F77F3BC0"/>
    <w:rsid w:val="F77F3F44"/>
    <w:rsid w:val="F77F606A"/>
    <w:rsid w:val="F77FF63E"/>
    <w:rsid w:val="F77FF652"/>
    <w:rsid w:val="F78B16FB"/>
    <w:rsid w:val="F79E42E1"/>
    <w:rsid w:val="F79F8BCA"/>
    <w:rsid w:val="F7AFB482"/>
    <w:rsid w:val="F7B539C0"/>
    <w:rsid w:val="F7B59789"/>
    <w:rsid w:val="F7B82013"/>
    <w:rsid w:val="F7BC5C9F"/>
    <w:rsid w:val="F7BD1B10"/>
    <w:rsid w:val="F7BF1B1B"/>
    <w:rsid w:val="F7BF2ACC"/>
    <w:rsid w:val="F7BF406D"/>
    <w:rsid w:val="F7BF41D3"/>
    <w:rsid w:val="F7BF465A"/>
    <w:rsid w:val="F7BFF41A"/>
    <w:rsid w:val="F7C7BBD4"/>
    <w:rsid w:val="F7CBE4B7"/>
    <w:rsid w:val="F7CFB8B6"/>
    <w:rsid w:val="F7D3AC2D"/>
    <w:rsid w:val="F7D6965A"/>
    <w:rsid w:val="F7D6E6C1"/>
    <w:rsid w:val="F7D7D416"/>
    <w:rsid w:val="F7D97A2B"/>
    <w:rsid w:val="F7DACC58"/>
    <w:rsid w:val="F7DB35EF"/>
    <w:rsid w:val="F7DB7114"/>
    <w:rsid w:val="F7DBF5C7"/>
    <w:rsid w:val="F7DC49CC"/>
    <w:rsid w:val="F7DF4908"/>
    <w:rsid w:val="F7DF92CC"/>
    <w:rsid w:val="F7DF92FE"/>
    <w:rsid w:val="F7DFD33E"/>
    <w:rsid w:val="F7E79427"/>
    <w:rsid w:val="F7EA33B1"/>
    <w:rsid w:val="F7EDD8FF"/>
    <w:rsid w:val="F7EDEE2B"/>
    <w:rsid w:val="F7EE3396"/>
    <w:rsid w:val="F7EF0ED8"/>
    <w:rsid w:val="F7EF1265"/>
    <w:rsid w:val="F7EF3B1C"/>
    <w:rsid w:val="F7EF9820"/>
    <w:rsid w:val="F7EFB0CA"/>
    <w:rsid w:val="F7F36E22"/>
    <w:rsid w:val="F7F606DE"/>
    <w:rsid w:val="F7F700C9"/>
    <w:rsid w:val="F7F7101C"/>
    <w:rsid w:val="F7F72A7E"/>
    <w:rsid w:val="F7F79282"/>
    <w:rsid w:val="F7F7980A"/>
    <w:rsid w:val="F7F7A20C"/>
    <w:rsid w:val="F7F95396"/>
    <w:rsid w:val="F7F9B952"/>
    <w:rsid w:val="F7FA6FB5"/>
    <w:rsid w:val="F7FA9019"/>
    <w:rsid w:val="F7FB6A45"/>
    <w:rsid w:val="F7FB83E0"/>
    <w:rsid w:val="F7FC9229"/>
    <w:rsid w:val="F7FCD9CA"/>
    <w:rsid w:val="F7FD83D4"/>
    <w:rsid w:val="F7FDEDFE"/>
    <w:rsid w:val="F7FE087F"/>
    <w:rsid w:val="F7FE17DE"/>
    <w:rsid w:val="F7FE45A6"/>
    <w:rsid w:val="F7FE4AB2"/>
    <w:rsid w:val="F7FE65F9"/>
    <w:rsid w:val="F7FEABBC"/>
    <w:rsid w:val="F7FF07AC"/>
    <w:rsid w:val="F7FF2F80"/>
    <w:rsid w:val="F7FF666E"/>
    <w:rsid w:val="F7FF6832"/>
    <w:rsid w:val="F7FF7772"/>
    <w:rsid w:val="F7FF9B06"/>
    <w:rsid w:val="F7FF9CC6"/>
    <w:rsid w:val="F7FFA200"/>
    <w:rsid w:val="F7FFB489"/>
    <w:rsid w:val="F7FFD18E"/>
    <w:rsid w:val="F7FFEC22"/>
    <w:rsid w:val="F837A0FB"/>
    <w:rsid w:val="F83970FB"/>
    <w:rsid w:val="F8792317"/>
    <w:rsid w:val="F87BCE27"/>
    <w:rsid w:val="F87F69D8"/>
    <w:rsid w:val="F8BF56FC"/>
    <w:rsid w:val="F8C5C5E3"/>
    <w:rsid w:val="F8CDF7BA"/>
    <w:rsid w:val="F8D951BD"/>
    <w:rsid w:val="F8DD9677"/>
    <w:rsid w:val="F8DFDF10"/>
    <w:rsid w:val="F8EF0E5F"/>
    <w:rsid w:val="F8F7D5C2"/>
    <w:rsid w:val="F8FA3188"/>
    <w:rsid w:val="F8FDFD9B"/>
    <w:rsid w:val="F8FEF8ED"/>
    <w:rsid w:val="F8FF6EA3"/>
    <w:rsid w:val="F91738EB"/>
    <w:rsid w:val="F93F6BA3"/>
    <w:rsid w:val="F9776CF7"/>
    <w:rsid w:val="F97F62D2"/>
    <w:rsid w:val="F97FD483"/>
    <w:rsid w:val="F97FF0E6"/>
    <w:rsid w:val="F9AD7903"/>
    <w:rsid w:val="F9BD80F2"/>
    <w:rsid w:val="F9BF30D7"/>
    <w:rsid w:val="F9BF6A64"/>
    <w:rsid w:val="F9BFCABB"/>
    <w:rsid w:val="F9BFD5AF"/>
    <w:rsid w:val="F9CFE8E3"/>
    <w:rsid w:val="F9D3FEE7"/>
    <w:rsid w:val="F9DCCB8A"/>
    <w:rsid w:val="F9DF2452"/>
    <w:rsid w:val="F9E6DA4C"/>
    <w:rsid w:val="F9E97B09"/>
    <w:rsid w:val="F9EBB67C"/>
    <w:rsid w:val="F9EC49D3"/>
    <w:rsid w:val="F9EF5964"/>
    <w:rsid w:val="F9F26186"/>
    <w:rsid w:val="F9F7686D"/>
    <w:rsid w:val="F9F99A7A"/>
    <w:rsid w:val="F9F9E288"/>
    <w:rsid w:val="F9FB3E00"/>
    <w:rsid w:val="F9FB9326"/>
    <w:rsid w:val="F9FBA151"/>
    <w:rsid w:val="F9FE0F0B"/>
    <w:rsid w:val="F9FE8686"/>
    <w:rsid w:val="F9FED74F"/>
    <w:rsid w:val="F9FF3178"/>
    <w:rsid w:val="F9FF3E36"/>
    <w:rsid w:val="F9FFA2C0"/>
    <w:rsid w:val="F9FFCF61"/>
    <w:rsid w:val="F9FFD1EA"/>
    <w:rsid w:val="FA07FB60"/>
    <w:rsid w:val="FA1F61EC"/>
    <w:rsid w:val="FA21B226"/>
    <w:rsid w:val="FA2D409B"/>
    <w:rsid w:val="FA3B0AC8"/>
    <w:rsid w:val="FA52B3A8"/>
    <w:rsid w:val="FA5DC7AC"/>
    <w:rsid w:val="FA6DDDF3"/>
    <w:rsid w:val="FA6FAC40"/>
    <w:rsid w:val="FA773A85"/>
    <w:rsid w:val="FA793634"/>
    <w:rsid w:val="FA7F6287"/>
    <w:rsid w:val="FA95D74C"/>
    <w:rsid w:val="FAADD282"/>
    <w:rsid w:val="FAAF5C7B"/>
    <w:rsid w:val="FABA8E3F"/>
    <w:rsid w:val="FAC3D080"/>
    <w:rsid w:val="FAD4E338"/>
    <w:rsid w:val="FAD64A5C"/>
    <w:rsid w:val="FADE099A"/>
    <w:rsid w:val="FAE71C6E"/>
    <w:rsid w:val="FAE7AEC4"/>
    <w:rsid w:val="FAE7F667"/>
    <w:rsid w:val="FAEBC543"/>
    <w:rsid w:val="FAEE6B5C"/>
    <w:rsid w:val="FAF2963A"/>
    <w:rsid w:val="FAF4DB16"/>
    <w:rsid w:val="FAF6C049"/>
    <w:rsid w:val="FAF76C38"/>
    <w:rsid w:val="FAFADA41"/>
    <w:rsid w:val="FAFB0D69"/>
    <w:rsid w:val="FAFBD3A8"/>
    <w:rsid w:val="FAFBE6D5"/>
    <w:rsid w:val="FAFBFA39"/>
    <w:rsid w:val="FAFC0D8A"/>
    <w:rsid w:val="FAFC9B39"/>
    <w:rsid w:val="FAFD1864"/>
    <w:rsid w:val="FAFD4440"/>
    <w:rsid w:val="FAFD6412"/>
    <w:rsid w:val="FAFDC742"/>
    <w:rsid w:val="FAFE39F4"/>
    <w:rsid w:val="FAFE3CC0"/>
    <w:rsid w:val="FAFF5102"/>
    <w:rsid w:val="FAFFE9FD"/>
    <w:rsid w:val="FB13AB13"/>
    <w:rsid w:val="FB1D5E02"/>
    <w:rsid w:val="FB25143D"/>
    <w:rsid w:val="FB2E61DB"/>
    <w:rsid w:val="FB3525FF"/>
    <w:rsid w:val="FB377B8F"/>
    <w:rsid w:val="FB3CAF55"/>
    <w:rsid w:val="FB3D1145"/>
    <w:rsid w:val="FB3F49FD"/>
    <w:rsid w:val="FB56A072"/>
    <w:rsid w:val="FB5978E4"/>
    <w:rsid w:val="FB5C739F"/>
    <w:rsid w:val="FB5C7A1C"/>
    <w:rsid w:val="FB5D5CF5"/>
    <w:rsid w:val="FB5E6E26"/>
    <w:rsid w:val="FB5F3922"/>
    <w:rsid w:val="FB633302"/>
    <w:rsid w:val="FB6EAA29"/>
    <w:rsid w:val="FB6FC508"/>
    <w:rsid w:val="FB6FC6A6"/>
    <w:rsid w:val="FB72DB2E"/>
    <w:rsid w:val="FB73F23D"/>
    <w:rsid w:val="FB740665"/>
    <w:rsid w:val="FB759A90"/>
    <w:rsid w:val="FB76DE88"/>
    <w:rsid w:val="FB772B35"/>
    <w:rsid w:val="FB77BBDC"/>
    <w:rsid w:val="FB7E8486"/>
    <w:rsid w:val="FB7ED8BB"/>
    <w:rsid w:val="FB7EF4A9"/>
    <w:rsid w:val="FB7F0FF2"/>
    <w:rsid w:val="FB7F3563"/>
    <w:rsid w:val="FB7F4D01"/>
    <w:rsid w:val="FB7F68A8"/>
    <w:rsid w:val="FB7F9D15"/>
    <w:rsid w:val="FB7FBD9D"/>
    <w:rsid w:val="FB7FFC4F"/>
    <w:rsid w:val="FB84AE74"/>
    <w:rsid w:val="FB855703"/>
    <w:rsid w:val="FB86FB65"/>
    <w:rsid w:val="FB8F94B0"/>
    <w:rsid w:val="FB9D5A8B"/>
    <w:rsid w:val="FB9E6B1B"/>
    <w:rsid w:val="FB9FE211"/>
    <w:rsid w:val="FBA680AD"/>
    <w:rsid w:val="FBAA09ED"/>
    <w:rsid w:val="FBAF0D59"/>
    <w:rsid w:val="FBAFA67E"/>
    <w:rsid w:val="FBAFE746"/>
    <w:rsid w:val="FBB3C74E"/>
    <w:rsid w:val="FBB5AB69"/>
    <w:rsid w:val="FBB6CC0E"/>
    <w:rsid w:val="FBB79811"/>
    <w:rsid w:val="FBB7AF89"/>
    <w:rsid w:val="FBB7EB11"/>
    <w:rsid w:val="FBBB1B43"/>
    <w:rsid w:val="FBBBB371"/>
    <w:rsid w:val="FBBC9341"/>
    <w:rsid w:val="FBBD05C1"/>
    <w:rsid w:val="FBBD8BE2"/>
    <w:rsid w:val="FBBD992B"/>
    <w:rsid w:val="FBBDC8C8"/>
    <w:rsid w:val="FBBF2A79"/>
    <w:rsid w:val="FBBF50FB"/>
    <w:rsid w:val="FBBF5E09"/>
    <w:rsid w:val="FBC1F609"/>
    <w:rsid w:val="FBC6EA8B"/>
    <w:rsid w:val="FBCB2D01"/>
    <w:rsid w:val="FBCD2446"/>
    <w:rsid w:val="FBCE0AD4"/>
    <w:rsid w:val="FBCE4DB0"/>
    <w:rsid w:val="FBCEADCB"/>
    <w:rsid w:val="FBCF58EF"/>
    <w:rsid w:val="FBCFA78E"/>
    <w:rsid w:val="FBCFBC66"/>
    <w:rsid w:val="FBD2CB57"/>
    <w:rsid w:val="FBD39348"/>
    <w:rsid w:val="FBD7533F"/>
    <w:rsid w:val="FBD77461"/>
    <w:rsid w:val="FBDA1640"/>
    <w:rsid w:val="FBDB259A"/>
    <w:rsid w:val="FBDB2683"/>
    <w:rsid w:val="FBDD17BE"/>
    <w:rsid w:val="FBDE0224"/>
    <w:rsid w:val="FBDE140A"/>
    <w:rsid w:val="FBDE47C5"/>
    <w:rsid w:val="FBDE548C"/>
    <w:rsid w:val="FBDFBE4D"/>
    <w:rsid w:val="FBDFD1B5"/>
    <w:rsid w:val="FBE2B415"/>
    <w:rsid w:val="FBE73871"/>
    <w:rsid w:val="FBE9EBBD"/>
    <w:rsid w:val="FBEC6DD5"/>
    <w:rsid w:val="FBEE5B83"/>
    <w:rsid w:val="FBF18ADC"/>
    <w:rsid w:val="FBF3D24D"/>
    <w:rsid w:val="FBF56278"/>
    <w:rsid w:val="FBF5CCD4"/>
    <w:rsid w:val="FBF60DEA"/>
    <w:rsid w:val="FBF64110"/>
    <w:rsid w:val="FBF74CCC"/>
    <w:rsid w:val="FBF85EF6"/>
    <w:rsid w:val="FBFA013E"/>
    <w:rsid w:val="FBFA46C4"/>
    <w:rsid w:val="FBFB1C2C"/>
    <w:rsid w:val="FBFBDE9B"/>
    <w:rsid w:val="FBFD1E69"/>
    <w:rsid w:val="FBFDD07C"/>
    <w:rsid w:val="FBFDD176"/>
    <w:rsid w:val="FBFE3AC6"/>
    <w:rsid w:val="FBFE510F"/>
    <w:rsid w:val="FBFE86DC"/>
    <w:rsid w:val="FBFEE42E"/>
    <w:rsid w:val="FBFF06AA"/>
    <w:rsid w:val="FBFF3058"/>
    <w:rsid w:val="FBFF3107"/>
    <w:rsid w:val="FBFF53D5"/>
    <w:rsid w:val="FBFF908F"/>
    <w:rsid w:val="FBFFA4F7"/>
    <w:rsid w:val="FBFFADCB"/>
    <w:rsid w:val="FBFFB8E5"/>
    <w:rsid w:val="FBFFBF18"/>
    <w:rsid w:val="FBFFC1D9"/>
    <w:rsid w:val="FBFFC9FC"/>
    <w:rsid w:val="FBFFDA1A"/>
    <w:rsid w:val="FBFFF37A"/>
    <w:rsid w:val="FC5BBB88"/>
    <w:rsid w:val="FC5C6BBE"/>
    <w:rsid w:val="FC6A16A4"/>
    <w:rsid w:val="FC75F7A6"/>
    <w:rsid w:val="FC7F624D"/>
    <w:rsid w:val="FC7FDAB0"/>
    <w:rsid w:val="FC9730D1"/>
    <w:rsid w:val="FC97AB72"/>
    <w:rsid w:val="FC9F0AEA"/>
    <w:rsid w:val="FC9F4EBA"/>
    <w:rsid w:val="FCC75C7C"/>
    <w:rsid w:val="FCD3ACE8"/>
    <w:rsid w:val="FCD5E61A"/>
    <w:rsid w:val="FCDA4AA2"/>
    <w:rsid w:val="FCDE001A"/>
    <w:rsid w:val="FCDF9D10"/>
    <w:rsid w:val="FCE62EC6"/>
    <w:rsid w:val="FCF0483D"/>
    <w:rsid w:val="FCF75048"/>
    <w:rsid w:val="FCF7C778"/>
    <w:rsid w:val="FCF7D93F"/>
    <w:rsid w:val="FCFB00B3"/>
    <w:rsid w:val="FCFB4A31"/>
    <w:rsid w:val="FCFB7502"/>
    <w:rsid w:val="FCFD6399"/>
    <w:rsid w:val="FCFE457F"/>
    <w:rsid w:val="FCFF39DB"/>
    <w:rsid w:val="FCFF4BCB"/>
    <w:rsid w:val="FCFF8C5F"/>
    <w:rsid w:val="FCFF971F"/>
    <w:rsid w:val="FCFF988B"/>
    <w:rsid w:val="FCFFA24D"/>
    <w:rsid w:val="FCFFD0AF"/>
    <w:rsid w:val="FCFFDE75"/>
    <w:rsid w:val="FCFFF84D"/>
    <w:rsid w:val="FD2933D1"/>
    <w:rsid w:val="FD3A6888"/>
    <w:rsid w:val="FD3B4337"/>
    <w:rsid w:val="FD3EEFBA"/>
    <w:rsid w:val="FD3F5A20"/>
    <w:rsid w:val="FD451C5F"/>
    <w:rsid w:val="FD56D584"/>
    <w:rsid w:val="FD5A39AD"/>
    <w:rsid w:val="FD5CB1B0"/>
    <w:rsid w:val="FD5D254F"/>
    <w:rsid w:val="FD5D9387"/>
    <w:rsid w:val="FD5E84C6"/>
    <w:rsid w:val="FD5F3616"/>
    <w:rsid w:val="FD5F8193"/>
    <w:rsid w:val="FD65CD66"/>
    <w:rsid w:val="FD6D1A44"/>
    <w:rsid w:val="FD6F9EDC"/>
    <w:rsid w:val="FD753D85"/>
    <w:rsid w:val="FD7C596B"/>
    <w:rsid w:val="FD7E5C49"/>
    <w:rsid w:val="FD7E8E0C"/>
    <w:rsid w:val="FD7EE28E"/>
    <w:rsid w:val="FD7F0B78"/>
    <w:rsid w:val="FD7F4270"/>
    <w:rsid w:val="FD7F5926"/>
    <w:rsid w:val="FD7F94AC"/>
    <w:rsid w:val="FD7FB705"/>
    <w:rsid w:val="FD7FC1FC"/>
    <w:rsid w:val="FD855FED"/>
    <w:rsid w:val="FD97D855"/>
    <w:rsid w:val="FD9F4A9C"/>
    <w:rsid w:val="FD9F731A"/>
    <w:rsid w:val="FDAD36F4"/>
    <w:rsid w:val="FDAE92DB"/>
    <w:rsid w:val="FDAF6154"/>
    <w:rsid w:val="FDB0E7F2"/>
    <w:rsid w:val="FDB3137D"/>
    <w:rsid w:val="FDB529F2"/>
    <w:rsid w:val="FDB6A4EC"/>
    <w:rsid w:val="FDB893D2"/>
    <w:rsid w:val="FDB97591"/>
    <w:rsid w:val="FDB9F033"/>
    <w:rsid w:val="FDBC15FE"/>
    <w:rsid w:val="FDBD5682"/>
    <w:rsid w:val="FDBE045A"/>
    <w:rsid w:val="FDBF10F2"/>
    <w:rsid w:val="FDBF3EE3"/>
    <w:rsid w:val="FDBFDC72"/>
    <w:rsid w:val="FDC6587A"/>
    <w:rsid w:val="FDC66199"/>
    <w:rsid w:val="FDCB89EA"/>
    <w:rsid w:val="FDCF13C7"/>
    <w:rsid w:val="FDCF46D2"/>
    <w:rsid w:val="FDCFA399"/>
    <w:rsid w:val="FDCFDBF0"/>
    <w:rsid w:val="FDD0DF48"/>
    <w:rsid w:val="FDD18962"/>
    <w:rsid w:val="FDD30ED5"/>
    <w:rsid w:val="FDD33537"/>
    <w:rsid w:val="FDD58BB4"/>
    <w:rsid w:val="FDD5BF05"/>
    <w:rsid w:val="FDD65A66"/>
    <w:rsid w:val="FDD965BB"/>
    <w:rsid w:val="FDDAC464"/>
    <w:rsid w:val="FDDC4998"/>
    <w:rsid w:val="FDDC6B8F"/>
    <w:rsid w:val="FDDE756A"/>
    <w:rsid w:val="FDDF050E"/>
    <w:rsid w:val="FDDF1B51"/>
    <w:rsid w:val="FDDF2356"/>
    <w:rsid w:val="FDDF4932"/>
    <w:rsid w:val="FDDFFB88"/>
    <w:rsid w:val="FDE15B8E"/>
    <w:rsid w:val="FDE28869"/>
    <w:rsid w:val="FDE7C3A5"/>
    <w:rsid w:val="FDEB48AB"/>
    <w:rsid w:val="FDED6017"/>
    <w:rsid w:val="FDEE315D"/>
    <w:rsid w:val="FDEEED10"/>
    <w:rsid w:val="FDEF1DE6"/>
    <w:rsid w:val="FDEF2EB2"/>
    <w:rsid w:val="FDEF370C"/>
    <w:rsid w:val="FDEF9344"/>
    <w:rsid w:val="FDEFC093"/>
    <w:rsid w:val="FDF322B4"/>
    <w:rsid w:val="FDF66342"/>
    <w:rsid w:val="FDF7B834"/>
    <w:rsid w:val="FDF7CE33"/>
    <w:rsid w:val="FDF7E56E"/>
    <w:rsid w:val="FDF7E6E0"/>
    <w:rsid w:val="FDF904BC"/>
    <w:rsid w:val="FDF916D1"/>
    <w:rsid w:val="FDF9596F"/>
    <w:rsid w:val="FDF9B620"/>
    <w:rsid w:val="FDF9C25D"/>
    <w:rsid w:val="FDFA25DD"/>
    <w:rsid w:val="FDFA9027"/>
    <w:rsid w:val="FDFB05CF"/>
    <w:rsid w:val="FDFB4045"/>
    <w:rsid w:val="FDFBB661"/>
    <w:rsid w:val="FDFCE665"/>
    <w:rsid w:val="FDFD08E8"/>
    <w:rsid w:val="FDFDAF83"/>
    <w:rsid w:val="FDFDB325"/>
    <w:rsid w:val="FDFE0D32"/>
    <w:rsid w:val="FDFE5D43"/>
    <w:rsid w:val="FDFEC9B5"/>
    <w:rsid w:val="FDFEE33A"/>
    <w:rsid w:val="FDFF00D8"/>
    <w:rsid w:val="FDFF1870"/>
    <w:rsid w:val="FDFF242E"/>
    <w:rsid w:val="FDFF2A23"/>
    <w:rsid w:val="FDFF56AD"/>
    <w:rsid w:val="FDFF65DA"/>
    <w:rsid w:val="FDFF8072"/>
    <w:rsid w:val="FDFF96C1"/>
    <w:rsid w:val="FDFFB012"/>
    <w:rsid w:val="FDFFCD3D"/>
    <w:rsid w:val="FDFFD776"/>
    <w:rsid w:val="FDFFF1A6"/>
    <w:rsid w:val="FDFFFA7C"/>
    <w:rsid w:val="FDFFFD22"/>
    <w:rsid w:val="FE0F3A41"/>
    <w:rsid w:val="FE1F38BF"/>
    <w:rsid w:val="FE1F5CBE"/>
    <w:rsid w:val="FE32D2AE"/>
    <w:rsid w:val="FE35E0AA"/>
    <w:rsid w:val="FE3F6C79"/>
    <w:rsid w:val="FE3F93C2"/>
    <w:rsid w:val="FE4BC006"/>
    <w:rsid w:val="FE4D64D4"/>
    <w:rsid w:val="FE53D523"/>
    <w:rsid w:val="FE551D97"/>
    <w:rsid w:val="FE567EF3"/>
    <w:rsid w:val="FE5B0A71"/>
    <w:rsid w:val="FE5B5BC0"/>
    <w:rsid w:val="FE5D3D42"/>
    <w:rsid w:val="FE5F56D4"/>
    <w:rsid w:val="FE63698A"/>
    <w:rsid w:val="FE666526"/>
    <w:rsid w:val="FE6BD62F"/>
    <w:rsid w:val="FE6F58F6"/>
    <w:rsid w:val="FE771E82"/>
    <w:rsid w:val="FE77A40B"/>
    <w:rsid w:val="FE7BFCD0"/>
    <w:rsid w:val="FE7DA131"/>
    <w:rsid w:val="FE7F21B1"/>
    <w:rsid w:val="FE7F68F9"/>
    <w:rsid w:val="FE7F8BBF"/>
    <w:rsid w:val="FE7FC8B9"/>
    <w:rsid w:val="FE825AEA"/>
    <w:rsid w:val="FE871271"/>
    <w:rsid w:val="FE8F992D"/>
    <w:rsid w:val="FE950A08"/>
    <w:rsid w:val="FE9B1C7F"/>
    <w:rsid w:val="FE9DE9A5"/>
    <w:rsid w:val="FEA4F9FE"/>
    <w:rsid w:val="FEA7A2BB"/>
    <w:rsid w:val="FEAB6E89"/>
    <w:rsid w:val="FEAD1559"/>
    <w:rsid w:val="FEAE6B39"/>
    <w:rsid w:val="FEAEBB02"/>
    <w:rsid w:val="FEB3ADE1"/>
    <w:rsid w:val="FEBA47BB"/>
    <w:rsid w:val="FEBB2167"/>
    <w:rsid w:val="FEBBE273"/>
    <w:rsid w:val="FEBC7D4A"/>
    <w:rsid w:val="FEBD0D0C"/>
    <w:rsid w:val="FEBD1986"/>
    <w:rsid w:val="FEBE31AF"/>
    <w:rsid w:val="FEBF1499"/>
    <w:rsid w:val="FEBF54AB"/>
    <w:rsid w:val="FEBF7041"/>
    <w:rsid w:val="FEBF7481"/>
    <w:rsid w:val="FEBF7B9E"/>
    <w:rsid w:val="FEC12F0F"/>
    <w:rsid w:val="FEC33B2B"/>
    <w:rsid w:val="FEC4A3FB"/>
    <w:rsid w:val="FECECC7F"/>
    <w:rsid w:val="FECF7295"/>
    <w:rsid w:val="FED3C135"/>
    <w:rsid w:val="FED3E31C"/>
    <w:rsid w:val="FED53F50"/>
    <w:rsid w:val="FED668E6"/>
    <w:rsid w:val="FED76EC9"/>
    <w:rsid w:val="FEDB68F8"/>
    <w:rsid w:val="FEDFEB35"/>
    <w:rsid w:val="FEE78CA4"/>
    <w:rsid w:val="FEEB3648"/>
    <w:rsid w:val="FEED5E27"/>
    <w:rsid w:val="FEEDDCA0"/>
    <w:rsid w:val="FEEDE4F8"/>
    <w:rsid w:val="FEEE546D"/>
    <w:rsid w:val="FEEF72F8"/>
    <w:rsid w:val="FEEF7D2F"/>
    <w:rsid w:val="FEEF8580"/>
    <w:rsid w:val="FEEFB307"/>
    <w:rsid w:val="FEF0FBBF"/>
    <w:rsid w:val="FEF14B15"/>
    <w:rsid w:val="FEF53089"/>
    <w:rsid w:val="FEF59AFE"/>
    <w:rsid w:val="FEF5BED8"/>
    <w:rsid w:val="FEF60967"/>
    <w:rsid w:val="FEF672F7"/>
    <w:rsid w:val="FEF76412"/>
    <w:rsid w:val="FEF7D090"/>
    <w:rsid w:val="FEF7F2C7"/>
    <w:rsid w:val="FEF7FE87"/>
    <w:rsid w:val="FEF9FA4C"/>
    <w:rsid w:val="FEFA11BE"/>
    <w:rsid w:val="FEFB0A37"/>
    <w:rsid w:val="FEFB2C33"/>
    <w:rsid w:val="FEFBB47E"/>
    <w:rsid w:val="FEFBD817"/>
    <w:rsid w:val="FEFC1281"/>
    <w:rsid w:val="FEFC5B24"/>
    <w:rsid w:val="FEFCB444"/>
    <w:rsid w:val="FEFD7EE7"/>
    <w:rsid w:val="FEFD8CE0"/>
    <w:rsid w:val="FEFDCEF7"/>
    <w:rsid w:val="FEFDEC21"/>
    <w:rsid w:val="FEFE3960"/>
    <w:rsid w:val="FEFE4596"/>
    <w:rsid w:val="FEFE4C0B"/>
    <w:rsid w:val="FEFE75C5"/>
    <w:rsid w:val="FEFE7E7F"/>
    <w:rsid w:val="FEFECDDB"/>
    <w:rsid w:val="FEFED231"/>
    <w:rsid w:val="FEFF5030"/>
    <w:rsid w:val="FEFF5368"/>
    <w:rsid w:val="FEFF9807"/>
    <w:rsid w:val="FEFF9A2C"/>
    <w:rsid w:val="FEFFBA2C"/>
    <w:rsid w:val="FEFFEE9D"/>
    <w:rsid w:val="FEFFF1AE"/>
    <w:rsid w:val="FF07F372"/>
    <w:rsid w:val="FF0F9D73"/>
    <w:rsid w:val="FF14A2EE"/>
    <w:rsid w:val="FF177ED8"/>
    <w:rsid w:val="FF1D8DBD"/>
    <w:rsid w:val="FF1E2B76"/>
    <w:rsid w:val="FF2FBE0A"/>
    <w:rsid w:val="FF2FF8A0"/>
    <w:rsid w:val="FF3086A4"/>
    <w:rsid w:val="FF361298"/>
    <w:rsid w:val="FF36E487"/>
    <w:rsid w:val="FF37C056"/>
    <w:rsid w:val="FF39F627"/>
    <w:rsid w:val="FF3B48DD"/>
    <w:rsid w:val="FF3B50F8"/>
    <w:rsid w:val="FF3B6FF6"/>
    <w:rsid w:val="FF3CEDA3"/>
    <w:rsid w:val="FF3D6C88"/>
    <w:rsid w:val="FF3D7961"/>
    <w:rsid w:val="FF3EDA4C"/>
    <w:rsid w:val="FF3F04F2"/>
    <w:rsid w:val="FF3F29B3"/>
    <w:rsid w:val="FF3F4FC3"/>
    <w:rsid w:val="FF3F66DA"/>
    <w:rsid w:val="FF3F6900"/>
    <w:rsid w:val="FF3F7EA4"/>
    <w:rsid w:val="FF3FC6F7"/>
    <w:rsid w:val="FF4A676B"/>
    <w:rsid w:val="FF4DBE45"/>
    <w:rsid w:val="FF4E1C7A"/>
    <w:rsid w:val="FF517DD2"/>
    <w:rsid w:val="FF571D58"/>
    <w:rsid w:val="FF5725B2"/>
    <w:rsid w:val="FF574209"/>
    <w:rsid w:val="FF577426"/>
    <w:rsid w:val="FF5B98C5"/>
    <w:rsid w:val="FF5BE2B5"/>
    <w:rsid w:val="FF5C7F17"/>
    <w:rsid w:val="FF5EB490"/>
    <w:rsid w:val="FF5F4CC4"/>
    <w:rsid w:val="FF5FF585"/>
    <w:rsid w:val="FF5FFBA3"/>
    <w:rsid w:val="FF61B0FD"/>
    <w:rsid w:val="FF639B28"/>
    <w:rsid w:val="FF64F628"/>
    <w:rsid w:val="FF659E54"/>
    <w:rsid w:val="FF665C3D"/>
    <w:rsid w:val="FF6706FF"/>
    <w:rsid w:val="FF672B42"/>
    <w:rsid w:val="FF69912C"/>
    <w:rsid w:val="FF6BEE01"/>
    <w:rsid w:val="FF6D039F"/>
    <w:rsid w:val="FF6D11AA"/>
    <w:rsid w:val="FF6F0591"/>
    <w:rsid w:val="FF6F06C5"/>
    <w:rsid w:val="FF6F81B0"/>
    <w:rsid w:val="FF6F8EE9"/>
    <w:rsid w:val="FF71ADED"/>
    <w:rsid w:val="FF71BC8C"/>
    <w:rsid w:val="FF728BBB"/>
    <w:rsid w:val="FF72FC15"/>
    <w:rsid w:val="FF77147C"/>
    <w:rsid w:val="FF771823"/>
    <w:rsid w:val="FF7781AA"/>
    <w:rsid w:val="FF778B57"/>
    <w:rsid w:val="FF779E57"/>
    <w:rsid w:val="FF77EEBD"/>
    <w:rsid w:val="FF784FF6"/>
    <w:rsid w:val="FF79917E"/>
    <w:rsid w:val="FF799705"/>
    <w:rsid w:val="FF79E11B"/>
    <w:rsid w:val="FF7A0D78"/>
    <w:rsid w:val="FF7ADC04"/>
    <w:rsid w:val="FF7B3F54"/>
    <w:rsid w:val="FF7B49E6"/>
    <w:rsid w:val="FF7B801D"/>
    <w:rsid w:val="FF7BB966"/>
    <w:rsid w:val="FF7C2A0E"/>
    <w:rsid w:val="FF7C5CA6"/>
    <w:rsid w:val="FF7D869A"/>
    <w:rsid w:val="FF7DC788"/>
    <w:rsid w:val="FF7E25A2"/>
    <w:rsid w:val="FF7E5755"/>
    <w:rsid w:val="FF7E8E90"/>
    <w:rsid w:val="FF7E9A10"/>
    <w:rsid w:val="FF7EEEFF"/>
    <w:rsid w:val="FF7EEFA0"/>
    <w:rsid w:val="FF7F16E3"/>
    <w:rsid w:val="FF7F18E1"/>
    <w:rsid w:val="FF7F192F"/>
    <w:rsid w:val="FF7F2194"/>
    <w:rsid w:val="FF7F333D"/>
    <w:rsid w:val="FF7F386A"/>
    <w:rsid w:val="FF7F3BFE"/>
    <w:rsid w:val="FF7F4580"/>
    <w:rsid w:val="FF7F458F"/>
    <w:rsid w:val="FF7F4E02"/>
    <w:rsid w:val="FF7F77F6"/>
    <w:rsid w:val="FF7F8BCF"/>
    <w:rsid w:val="FF7FAEF6"/>
    <w:rsid w:val="FF8A1B30"/>
    <w:rsid w:val="FF930181"/>
    <w:rsid w:val="FF9349CB"/>
    <w:rsid w:val="FF962480"/>
    <w:rsid w:val="FF971902"/>
    <w:rsid w:val="FF992A09"/>
    <w:rsid w:val="FF9D64E0"/>
    <w:rsid w:val="FF9E0C32"/>
    <w:rsid w:val="FF9ED8B3"/>
    <w:rsid w:val="FF9F2CE5"/>
    <w:rsid w:val="FFA6E27A"/>
    <w:rsid w:val="FFA7ECC2"/>
    <w:rsid w:val="FFA9DFD0"/>
    <w:rsid w:val="FFAA35EB"/>
    <w:rsid w:val="FFAB368D"/>
    <w:rsid w:val="FFABA968"/>
    <w:rsid w:val="FFAC2EFD"/>
    <w:rsid w:val="FFAD23A7"/>
    <w:rsid w:val="FFAE3570"/>
    <w:rsid w:val="FFAEB822"/>
    <w:rsid w:val="FFAF21C0"/>
    <w:rsid w:val="FFAF9F12"/>
    <w:rsid w:val="FFAFC0D5"/>
    <w:rsid w:val="FFAFF4F1"/>
    <w:rsid w:val="FFB1B2A5"/>
    <w:rsid w:val="FFB65805"/>
    <w:rsid w:val="FFB73A8C"/>
    <w:rsid w:val="FFB7FFEC"/>
    <w:rsid w:val="FFB8212B"/>
    <w:rsid w:val="FFB89EF4"/>
    <w:rsid w:val="FFB9096B"/>
    <w:rsid w:val="FFB94046"/>
    <w:rsid w:val="FFB96D07"/>
    <w:rsid w:val="FFBA311F"/>
    <w:rsid w:val="FFBB1A6B"/>
    <w:rsid w:val="FFBB552B"/>
    <w:rsid w:val="FFBB6859"/>
    <w:rsid w:val="FFBBA3A8"/>
    <w:rsid w:val="FFBBE2FB"/>
    <w:rsid w:val="FFBC3196"/>
    <w:rsid w:val="FFBC5281"/>
    <w:rsid w:val="FFBCB38F"/>
    <w:rsid w:val="FFBCBF9C"/>
    <w:rsid w:val="FFBD53BA"/>
    <w:rsid w:val="FFBDA3B8"/>
    <w:rsid w:val="FFBDFBEE"/>
    <w:rsid w:val="FFBE0F55"/>
    <w:rsid w:val="FFBE9C0A"/>
    <w:rsid w:val="FFBE9CF5"/>
    <w:rsid w:val="FFBEB12C"/>
    <w:rsid w:val="FFBECA18"/>
    <w:rsid w:val="FFBECD87"/>
    <w:rsid w:val="FFBF1B0F"/>
    <w:rsid w:val="FFBF21CB"/>
    <w:rsid w:val="FFBF2926"/>
    <w:rsid w:val="FFBF8C64"/>
    <w:rsid w:val="FFBFB105"/>
    <w:rsid w:val="FFBFCA16"/>
    <w:rsid w:val="FFBFE1C6"/>
    <w:rsid w:val="FFBFE423"/>
    <w:rsid w:val="FFBFE873"/>
    <w:rsid w:val="FFBFE931"/>
    <w:rsid w:val="FFBFEADA"/>
    <w:rsid w:val="FFC62572"/>
    <w:rsid w:val="FFC73F0A"/>
    <w:rsid w:val="FFC7591E"/>
    <w:rsid w:val="FFC77D89"/>
    <w:rsid w:val="FFC84418"/>
    <w:rsid w:val="FFCD54AB"/>
    <w:rsid w:val="FFCDA083"/>
    <w:rsid w:val="FFCE42F3"/>
    <w:rsid w:val="FFCF2CE1"/>
    <w:rsid w:val="FFCF4796"/>
    <w:rsid w:val="FFCF5044"/>
    <w:rsid w:val="FFCF6223"/>
    <w:rsid w:val="FFCF9A90"/>
    <w:rsid w:val="FFCFB06D"/>
    <w:rsid w:val="FFCFEE41"/>
    <w:rsid w:val="FFD132DE"/>
    <w:rsid w:val="FFD34F01"/>
    <w:rsid w:val="FFD55E0A"/>
    <w:rsid w:val="FFD71D48"/>
    <w:rsid w:val="FFD74908"/>
    <w:rsid w:val="FFD765D5"/>
    <w:rsid w:val="FFD9262F"/>
    <w:rsid w:val="FFDA5242"/>
    <w:rsid w:val="FFDAC6B8"/>
    <w:rsid w:val="FFDB4C59"/>
    <w:rsid w:val="FFDBEA07"/>
    <w:rsid w:val="FFDC10A5"/>
    <w:rsid w:val="FFDC95B0"/>
    <w:rsid w:val="FFDE0E8B"/>
    <w:rsid w:val="FFDE6818"/>
    <w:rsid w:val="FFDE73FD"/>
    <w:rsid w:val="FFDED3CC"/>
    <w:rsid w:val="FFDF1B09"/>
    <w:rsid w:val="FFDF2753"/>
    <w:rsid w:val="FFDF4FC3"/>
    <w:rsid w:val="FFDF54A8"/>
    <w:rsid w:val="FFDF6D20"/>
    <w:rsid w:val="FFDF7B7E"/>
    <w:rsid w:val="FFDF8506"/>
    <w:rsid w:val="FFDFA6D5"/>
    <w:rsid w:val="FFDFA871"/>
    <w:rsid w:val="FFDFD4AC"/>
    <w:rsid w:val="FFDFE15E"/>
    <w:rsid w:val="FFDFE6B3"/>
    <w:rsid w:val="FFDFEC4D"/>
    <w:rsid w:val="FFDFF402"/>
    <w:rsid w:val="FFDFFF4A"/>
    <w:rsid w:val="FFE136B8"/>
    <w:rsid w:val="FFE2DECF"/>
    <w:rsid w:val="FFE2EB33"/>
    <w:rsid w:val="FFE39C65"/>
    <w:rsid w:val="FFE3A18C"/>
    <w:rsid w:val="FFE57F52"/>
    <w:rsid w:val="FFE642A3"/>
    <w:rsid w:val="FFE73320"/>
    <w:rsid w:val="FFE84685"/>
    <w:rsid w:val="FFE9DB02"/>
    <w:rsid w:val="FFEA65DA"/>
    <w:rsid w:val="FFEAF4D1"/>
    <w:rsid w:val="FFEB0174"/>
    <w:rsid w:val="FFEB3F5D"/>
    <w:rsid w:val="FFEB44D1"/>
    <w:rsid w:val="FFEB53E7"/>
    <w:rsid w:val="FFEB867A"/>
    <w:rsid w:val="FFEB99F9"/>
    <w:rsid w:val="FFEBA98F"/>
    <w:rsid w:val="FFEBADB7"/>
    <w:rsid w:val="FFEC630D"/>
    <w:rsid w:val="FFED2C75"/>
    <w:rsid w:val="FFED6439"/>
    <w:rsid w:val="FFED9807"/>
    <w:rsid w:val="FFED9D92"/>
    <w:rsid w:val="FFEDC301"/>
    <w:rsid w:val="FFEDC89C"/>
    <w:rsid w:val="FFEE9F00"/>
    <w:rsid w:val="FFEEA328"/>
    <w:rsid w:val="FFEEAFC0"/>
    <w:rsid w:val="FFEF0EED"/>
    <w:rsid w:val="FFEF2206"/>
    <w:rsid w:val="FFEF427B"/>
    <w:rsid w:val="FFEF49DA"/>
    <w:rsid w:val="FFEF7078"/>
    <w:rsid w:val="FFEF7DCC"/>
    <w:rsid w:val="FFEF7F4A"/>
    <w:rsid w:val="FFEFC461"/>
    <w:rsid w:val="FFEFEB44"/>
    <w:rsid w:val="FFEFFDAB"/>
    <w:rsid w:val="FFF18963"/>
    <w:rsid w:val="FFF1AACD"/>
    <w:rsid w:val="FFF1CC9A"/>
    <w:rsid w:val="FFF28CD8"/>
    <w:rsid w:val="FFF292E8"/>
    <w:rsid w:val="FFF2F564"/>
    <w:rsid w:val="FFF307E3"/>
    <w:rsid w:val="FFF37F39"/>
    <w:rsid w:val="FFF3C2E3"/>
    <w:rsid w:val="FFF40799"/>
    <w:rsid w:val="FFF48044"/>
    <w:rsid w:val="FFF50EF8"/>
    <w:rsid w:val="FFF712BA"/>
    <w:rsid w:val="FFF71705"/>
    <w:rsid w:val="FFF71F87"/>
    <w:rsid w:val="FFF735E3"/>
    <w:rsid w:val="FFF74F62"/>
    <w:rsid w:val="FFF75636"/>
    <w:rsid w:val="FFF76441"/>
    <w:rsid w:val="FFF78B12"/>
    <w:rsid w:val="FFF7C2B1"/>
    <w:rsid w:val="FFF7FB56"/>
    <w:rsid w:val="FFF91E46"/>
    <w:rsid w:val="FFF95BD8"/>
    <w:rsid w:val="FFF9B356"/>
    <w:rsid w:val="FFFA09AE"/>
    <w:rsid w:val="FFFA3C16"/>
    <w:rsid w:val="FFFA697D"/>
    <w:rsid w:val="FFFA7639"/>
    <w:rsid w:val="FFFAC06A"/>
    <w:rsid w:val="FFFAD91B"/>
    <w:rsid w:val="FFFB0BE1"/>
    <w:rsid w:val="FFFB0BF8"/>
    <w:rsid w:val="FFFB209F"/>
    <w:rsid w:val="FFFB348F"/>
    <w:rsid w:val="FFFB49C3"/>
    <w:rsid w:val="FFFB8B7D"/>
    <w:rsid w:val="FFFB9BE8"/>
    <w:rsid w:val="FFFBADBA"/>
    <w:rsid w:val="FFFBB361"/>
    <w:rsid w:val="FFFBB3A4"/>
    <w:rsid w:val="FFFBBF76"/>
    <w:rsid w:val="FFFBC1C1"/>
    <w:rsid w:val="FFFC4199"/>
    <w:rsid w:val="FFFC846F"/>
    <w:rsid w:val="FFFCF85C"/>
    <w:rsid w:val="FFFD029D"/>
    <w:rsid w:val="FFFD1BC2"/>
    <w:rsid w:val="FFFD32C7"/>
    <w:rsid w:val="FFFD3E11"/>
    <w:rsid w:val="FFFD405C"/>
    <w:rsid w:val="FFFD66EF"/>
    <w:rsid w:val="FFFD7329"/>
    <w:rsid w:val="FFFD78FB"/>
    <w:rsid w:val="FFFD800C"/>
    <w:rsid w:val="FFFD9B01"/>
    <w:rsid w:val="FFFDE20D"/>
    <w:rsid w:val="FFFDEDEE"/>
    <w:rsid w:val="FFFDF42D"/>
    <w:rsid w:val="FFFE07CB"/>
    <w:rsid w:val="FFFE23E2"/>
    <w:rsid w:val="FFFE4FB9"/>
    <w:rsid w:val="FFFE5D85"/>
    <w:rsid w:val="FFFE7D30"/>
    <w:rsid w:val="FFFE82B6"/>
    <w:rsid w:val="FFFEA03B"/>
    <w:rsid w:val="FFFF0281"/>
    <w:rsid w:val="FFFF02A1"/>
    <w:rsid w:val="FFFF0B70"/>
    <w:rsid w:val="FFFF0C8D"/>
    <w:rsid w:val="FFFF26C5"/>
    <w:rsid w:val="FFFF26D6"/>
    <w:rsid w:val="FFFF2D9E"/>
    <w:rsid w:val="FFFF3A59"/>
    <w:rsid w:val="FFFF3ABA"/>
    <w:rsid w:val="FFFF3CF8"/>
    <w:rsid w:val="FFFF402F"/>
    <w:rsid w:val="FFFF46EE"/>
    <w:rsid w:val="FFFF470A"/>
    <w:rsid w:val="FFFF4D6A"/>
    <w:rsid w:val="FFFF50CC"/>
    <w:rsid w:val="FFFF5A61"/>
    <w:rsid w:val="FFFF60AB"/>
    <w:rsid w:val="FFFF6583"/>
    <w:rsid w:val="FFFF76DA"/>
    <w:rsid w:val="FFFF780A"/>
    <w:rsid w:val="FFFF7A13"/>
    <w:rsid w:val="FFFF7E0A"/>
    <w:rsid w:val="FFFF8066"/>
    <w:rsid w:val="FFFF8480"/>
    <w:rsid w:val="FFFF848B"/>
    <w:rsid w:val="FFFF8625"/>
    <w:rsid w:val="FFFF8A7C"/>
    <w:rsid w:val="FFFF8E32"/>
    <w:rsid w:val="FFFF8E65"/>
    <w:rsid w:val="FFFF927A"/>
    <w:rsid w:val="FFFF9E09"/>
    <w:rsid w:val="FFFFA30A"/>
    <w:rsid w:val="FFFFAB9D"/>
    <w:rsid w:val="FFFFAC81"/>
    <w:rsid w:val="FFFFAF54"/>
    <w:rsid w:val="FFFFB04D"/>
    <w:rsid w:val="FFFFB0CF"/>
    <w:rsid w:val="FFFFC6D9"/>
    <w:rsid w:val="FFFFCA8B"/>
    <w:rsid w:val="FFFFD29A"/>
    <w:rsid w:val="FFFFD78F"/>
    <w:rsid w:val="FFFFD9D8"/>
    <w:rsid w:val="FFFFDC86"/>
    <w:rsid w:val="FFFFE15C"/>
    <w:rsid w:val="FFFFEA59"/>
    <w:rsid w:val="FFFFEE29"/>
    <w:rsid w:val="FFFFEFB7"/>
    <w:rsid w:val="FFFFF686"/>
    <w:rsid w:val="FFFFF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480" w:firstLineChars="200"/>
      <w:jc w:val="both"/>
    </w:pPr>
    <w:rPr>
      <w:rFonts w:ascii="仿宋_GB2312" w:hAnsi="仿宋_GB2312" w:eastAsia="仿宋_GB2312" w:cs="Times New Roman"/>
      <w:sz w:val="32"/>
      <w:szCs w:val="24"/>
      <w:lang w:val="en-US" w:eastAsia="zh-CN" w:bidi="ar-SA"/>
    </w:rPr>
  </w:style>
  <w:style w:type="paragraph" w:styleId="2">
    <w:name w:val="heading 1"/>
    <w:basedOn w:val="1"/>
    <w:next w:val="1"/>
    <w:qFormat/>
    <w:uiPriority w:val="0"/>
    <w:pPr>
      <w:keepNext/>
      <w:keepLines/>
      <w:spacing w:before="100" w:beforeLines="100" w:after="100" w:afterLines="100"/>
      <w:ind w:firstLine="0" w:firstLineChars="0"/>
      <w:jc w:val="center"/>
      <w:outlineLvl w:val="0"/>
    </w:pPr>
    <w:rPr>
      <w:rFonts w:ascii="黑体" w:hAnsi="黑体" w:eastAsia="Arial Unicode MS"/>
      <w:kern w:val="44"/>
      <w:sz w:val="36"/>
    </w:rPr>
  </w:style>
  <w:style w:type="paragraph" w:styleId="3">
    <w:name w:val="heading 2"/>
    <w:basedOn w:val="1"/>
    <w:next w:val="1"/>
    <w:link w:val="31"/>
    <w:unhideWhenUsed/>
    <w:qFormat/>
    <w:uiPriority w:val="0"/>
    <w:pPr>
      <w:keepNext/>
      <w:keepLines/>
      <w:spacing w:line="560" w:lineRule="exact"/>
      <w:ind w:firstLine="480" w:firstLineChars="200"/>
      <w:jc w:val="both"/>
      <w:outlineLvl w:val="1"/>
    </w:pPr>
    <w:rPr>
      <w:rFonts w:ascii="黑体" w:hAnsi="黑体" w:eastAsia="黑体" w:cs="STHeiti"/>
      <w:color w:val="000000" w:themeColor="text1"/>
      <w:sz w:val="32"/>
      <w:szCs w:val="28"/>
      <w14:textFill>
        <w14:solidFill>
          <w14:schemeClr w14:val="tx1"/>
        </w14:solidFill>
      </w14:textFill>
    </w:rPr>
  </w:style>
  <w:style w:type="paragraph" w:styleId="4">
    <w:name w:val="heading 3"/>
    <w:basedOn w:val="1"/>
    <w:next w:val="1"/>
    <w:link w:val="32"/>
    <w:unhideWhenUsed/>
    <w:qFormat/>
    <w:uiPriority w:val="0"/>
    <w:pPr>
      <w:keepNext/>
      <w:keepLines/>
      <w:spacing w:line="560" w:lineRule="exact"/>
      <w:ind w:firstLine="480" w:firstLineChars="200"/>
      <w:jc w:val="both"/>
      <w:outlineLvl w:val="2"/>
    </w:pPr>
    <w:rPr>
      <w:rFonts w:ascii="楷体_GB2312" w:hAnsi="楷体_GB2312" w:eastAsia="楷体_GB2312"/>
      <w:sz w:val="32"/>
    </w:rPr>
  </w:style>
  <w:style w:type="paragraph" w:styleId="5">
    <w:name w:val="heading 4"/>
    <w:basedOn w:val="1"/>
    <w:next w:val="1"/>
    <w:unhideWhenUsed/>
    <w:qFormat/>
    <w:uiPriority w:val="0"/>
    <w:pPr>
      <w:keepNext/>
      <w:keepLines/>
      <w:spacing w:beforeLines="0" w:beforeAutospacing="0" w:afterLines="0" w:afterAutospacing="0" w:line="560" w:lineRule="exact"/>
      <w:ind w:firstLine="480" w:firstLineChars="200"/>
      <w:jc w:val="both"/>
      <w:outlineLvl w:val="3"/>
    </w:pPr>
    <w:rPr>
      <w:rFonts w:ascii="仿宋_GB2312" w:hAnsi="仿宋_GB2312" w:eastAsia="仿宋_GB2312"/>
      <w:b/>
      <w:sz w:val="32"/>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Arial" w:hAnsi="Arial" w:cs="Arial"/>
      <w:sz w:val="20"/>
      <w:szCs w:val="20"/>
    </w:rPr>
    <w:tblPr>
      <w:tblCellMar>
        <w:top w:w="0" w:type="dxa"/>
        <w:left w:w="108" w:type="dxa"/>
        <w:bottom w:w="0" w:type="dxa"/>
        <w:right w:w="108" w:type="dxa"/>
      </w:tblCellMar>
    </w:tblPr>
  </w:style>
  <w:style w:type="paragraph" w:styleId="6">
    <w:name w:val="toc 7"/>
    <w:basedOn w:val="1"/>
    <w:next w:val="1"/>
    <w:autoRedefine/>
    <w:unhideWhenUsed/>
    <w:qFormat/>
    <w:uiPriority w:val="39"/>
    <w:pPr>
      <w:widowControl w:val="0"/>
      <w:spacing w:after="160" w:line="278" w:lineRule="auto"/>
      <w:ind w:left="2520" w:leftChars="1200"/>
    </w:pPr>
    <w:rPr>
      <w:rFonts w:cstheme="minorBidi"/>
      <w:kern w:val="2"/>
      <w:sz w:val="22"/>
      <w14:ligatures w14:val="standardContextual"/>
    </w:rPr>
  </w:style>
  <w:style w:type="paragraph" w:styleId="7">
    <w:name w:val="Normal Indent"/>
    <w:basedOn w:val="1"/>
    <w:next w:val="1"/>
    <w:unhideWhenUsed/>
    <w:qFormat/>
    <w:uiPriority w:val="99"/>
    <w:pPr>
      <w:ind w:firstLine="420" w:firstLineChars="200"/>
    </w:pPr>
    <w:rPr>
      <w:rFonts w:hint="eastAsia" w:ascii="Times New Roman" w:hAnsi="Times New Roman" w:eastAsia="仿宋_GB2312"/>
      <w:sz w:val="32"/>
      <w:szCs w:val="20"/>
    </w:rPr>
  </w:style>
  <w:style w:type="paragraph" w:styleId="8">
    <w:name w:val="annotation text"/>
    <w:basedOn w:val="1"/>
    <w:qFormat/>
    <w:uiPriority w:val="0"/>
    <w:pPr>
      <w:jc w:val="left"/>
    </w:pPr>
  </w:style>
  <w:style w:type="paragraph" w:styleId="9">
    <w:name w:val="Body Text"/>
    <w:basedOn w:val="1"/>
    <w:next w:val="1"/>
    <w:qFormat/>
    <w:uiPriority w:val="99"/>
    <w:pPr>
      <w:spacing w:after="140" w:line="276" w:lineRule="auto"/>
    </w:pPr>
  </w:style>
  <w:style w:type="paragraph" w:styleId="10">
    <w:name w:val="Body Text Indent"/>
    <w:basedOn w:val="1"/>
    <w:unhideWhenUsed/>
    <w:qFormat/>
    <w:uiPriority w:val="99"/>
    <w:pPr>
      <w:spacing w:after="120"/>
      <w:ind w:left="420" w:leftChars="200"/>
    </w:pPr>
  </w:style>
  <w:style w:type="paragraph" w:styleId="11">
    <w:name w:val="toc 5"/>
    <w:basedOn w:val="1"/>
    <w:next w:val="1"/>
    <w:autoRedefine/>
    <w:unhideWhenUsed/>
    <w:qFormat/>
    <w:uiPriority w:val="39"/>
    <w:pPr>
      <w:widowControl w:val="0"/>
      <w:spacing w:after="160" w:line="278" w:lineRule="auto"/>
      <w:ind w:left="1680" w:leftChars="800"/>
    </w:pPr>
    <w:rPr>
      <w:rFonts w:cstheme="minorBidi"/>
      <w:kern w:val="2"/>
      <w:sz w:val="22"/>
      <w14:ligatures w14:val="standardContextual"/>
    </w:rPr>
  </w:style>
  <w:style w:type="paragraph" w:styleId="12">
    <w:name w:val="toc 3"/>
    <w:basedOn w:val="1"/>
    <w:next w:val="1"/>
    <w:qFormat/>
    <w:uiPriority w:val="39"/>
    <w:pPr>
      <w:ind w:left="840" w:leftChars="400"/>
    </w:pPr>
  </w:style>
  <w:style w:type="paragraph" w:styleId="13">
    <w:name w:val="toc 8"/>
    <w:basedOn w:val="1"/>
    <w:next w:val="1"/>
    <w:autoRedefine/>
    <w:unhideWhenUsed/>
    <w:qFormat/>
    <w:uiPriority w:val="39"/>
    <w:pPr>
      <w:widowControl w:val="0"/>
      <w:spacing w:after="160" w:line="278" w:lineRule="auto"/>
      <w:ind w:left="2940" w:leftChars="1400"/>
    </w:pPr>
    <w:rPr>
      <w:rFonts w:cstheme="minorBidi"/>
      <w:kern w:val="2"/>
      <w:sz w:val="22"/>
      <w14:ligatures w14:val="standardContextual"/>
    </w:rPr>
  </w:style>
  <w:style w:type="paragraph" w:styleId="14">
    <w:name w:val="footer"/>
    <w:basedOn w:val="1"/>
    <w:qFormat/>
    <w:uiPriority w:val="0"/>
    <w:pPr>
      <w:tabs>
        <w:tab w:val="center" w:pos="4153"/>
        <w:tab w:val="right" w:pos="8306"/>
      </w:tabs>
      <w:snapToGrid w:val="0"/>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toc 1"/>
    <w:basedOn w:val="1"/>
    <w:next w:val="1"/>
    <w:qFormat/>
    <w:uiPriority w:val="39"/>
  </w:style>
  <w:style w:type="paragraph" w:styleId="17">
    <w:name w:val="toc 4"/>
    <w:basedOn w:val="1"/>
    <w:next w:val="1"/>
    <w:autoRedefine/>
    <w:unhideWhenUsed/>
    <w:qFormat/>
    <w:uiPriority w:val="39"/>
    <w:pPr>
      <w:widowControl w:val="0"/>
      <w:spacing w:after="160" w:line="278" w:lineRule="auto"/>
      <w:ind w:left="1260" w:leftChars="600"/>
    </w:pPr>
    <w:rPr>
      <w:rFonts w:cstheme="minorBidi"/>
      <w:kern w:val="2"/>
      <w:sz w:val="22"/>
      <w14:ligatures w14:val="standardContextual"/>
    </w:rPr>
  </w:style>
  <w:style w:type="paragraph" w:styleId="18">
    <w:name w:val="footnote text"/>
    <w:basedOn w:val="1"/>
    <w:link w:val="43"/>
    <w:qFormat/>
    <w:uiPriority w:val="99"/>
    <w:pPr>
      <w:snapToGrid w:val="0"/>
    </w:pPr>
    <w:rPr>
      <w:rFonts w:ascii="宋体" w:hAnsi="宋体" w:eastAsia="宋体" w:cs="宋体"/>
      <w:sz w:val="28"/>
      <w:szCs w:val="28"/>
    </w:rPr>
  </w:style>
  <w:style w:type="paragraph" w:styleId="19">
    <w:name w:val="toc 6"/>
    <w:basedOn w:val="1"/>
    <w:next w:val="1"/>
    <w:autoRedefine/>
    <w:unhideWhenUsed/>
    <w:qFormat/>
    <w:uiPriority w:val="39"/>
    <w:pPr>
      <w:widowControl w:val="0"/>
      <w:spacing w:after="160" w:line="278" w:lineRule="auto"/>
      <w:ind w:left="2100" w:leftChars="1000"/>
    </w:pPr>
    <w:rPr>
      <w:rFonts w:cstheme="minorBidi"/>
      <w:kern w:val="2"/>
      <w:sz w:val="22"/>
      <w14:ligatures w14:val="standardContextual"/>
    </w:rPr>
  </w:style>
  <w:style w:type="paragraph" w:styleId="20">
    <w:name w:val="toc 2"/>
    <w:basedOn w:val="1"/>
    <w:next w:val="1"/>
    <w:qFormat/>
    <w:uiPriority w:val="39"/>
    <w:pPr>
      <w:ind w:left="420" w:leftChars="100"/>
    </w:pPr>
    <w:rPr>
      <w:rFonts w:ascii="仿宋_GB2312" w:hAnsi="仿宋_GB2312" w:eastAsia="仿宋_GB2312"/>
    </w:rPr>
  </w:style>
  <w:style w:type="paragraph" w:styleId="21">
    <w:name w:val="toc 9"/>
    <w:basedOn w:val="1"/>
    <w:next w:val="1"/>
    <w:autoRedefine/>
    <w:unhideWhenUsed/>
    <w:qFormat/>
    <w:uiPriority w:val="39"/>
    <w:pPr>
      <w:widowControl w:val="0"/>
      <w:spacing w:after="160" w:line="278" w:lineRule="auto"/>
      <w:ind w:left="3360" w:leftChars="1600"/>
    </w:pPr>
    <w:rPr>
      <w:rFonts w:cstheme="minorBidi"/>
      <w:kern w:val="2"/>
      <w:sz w:val="22"/>
      <w14:ligatures w14:val="standardContextual"/>
    </w:rPr>
  </w:style>
  <w:style w:type="paragraph" w:styleId="22">
    <w:name w:val="Normal (Web)"/>
    <w:basedOn w:val="1"/>
    <w:qFormat/>
    <w:uiPriority w:val="0"/>
    <w:pPr>
      <w:spacing w:beforeAutospacing="1" w:afterAutospacing="1"/>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rPr>
  </w:style>
  <w:style w:type="character" w:styleId="27">
    <w:name w:val="Emphasis"/>
    <w:basedOn w:val="25"/>
    <w:qFormat/>
    <w:uiPriority w:val="0"/>
    <w:rPr>
      <w:i/>
    </w:rPr>
  </w:style>
  <w:style w:type="character" w:styleId="28">
    <w:name w:val="Hyperlink"/>
    <w:basedOn w:val="25"/>
    <w:unhideWhenUsed/>
    <w:qFormat/>
    <w:uiPriority w:val="99"/>
    <w:rPr>
      <w:color w:val="0026E5" w:themeColor="hyperlink"/>
      <w:u w:val="single"/>
      <w14:textFill>
        <w14:solidFill>
          <w14:schemeClr w14:val="hlink"/>
        </w14:solidFill>
      </w14:textFill>
    </w:rPr>
  </w:style>
  <w:style w:type="character" w:styleId="29">
    <w:name w:val="footnote reference"/>
    <w:basedOn w:val="25"/>
    <w:qFormat/>
    <w:uiPriority w:val="0"/>
    <w:rPr>
      <w:rFonts w:ascii="Times New Roman" w:hAnsi="Times New Roman" w:eastAsia="宋体"/>
      <w:vertAlign w:val="superscript"/>
    </w:rPr>
  </w:style>
  <w:style w:type="paragraph" w:customStyle="1" w:styleId="30">
    <w:name w:val="三级标题"/>
    <w:basedOn w:val="1"/>
    <w:next w:val="1"/>
    <w:qFormat/>
    <w:uiPriority w:val="0"/>
    <w:pPr>
      <w:keepNext/>
      <w:keepLines/>
      <w:spacing w:line="560" w:lineRule="exact"/>
      <w:outlineLvl w:val="2"/>
    </w:pPr>
    <w:rPr>
      <w:rFonts w:hint="eastAsia" w:ascii="仿宋_GB2312" w:hAnsi="仿宋_GB2312" w:eastAsia="仿宋_GB2312" w:cs="仿宋_GB2312"/>
      <w:sz w:val="32"/>
    </w:rPr>
  </w:style>
  <w:style w:type="character" w:customStyle="1" w:styleId="31">
    <w:name w:val="标题 2 字符"/>
    <w:basedOn w:val="25"/>
    <w:link w:val="3"/>
    <w:semiHidden/>
    <w:qFormat/>
    <w:uiPriority w:val="9"/>
    <w:rPr>
      <w:rFonts w:ascii="黑体" w:hAnsi="黑体" w:eastAsia="黑体" w:cs="STHeiti"/>
      <w:color w:val="000000" w:themeColor="text1"/>
      <w:sz w:val="32"/>
      <w:szCs w:val="28"/>
      <w14:textFill>
        <w14:solidFill>
          <w14:schemeClr w14:val="tx1"/>
        </w14:solidFill>
      </w14:textFill>
    </w:rPr>
  </w:style>
  <w:style w:type="character" w:customStyle="1" w:styleId="32">
    <w:name w:val="标题 3 字符"/>
    <w:link w:val="4"/>
    <w:qFormat/>
    <w:uiPriority w:val="0"/>
    <w:rPr>
      <w:rFonts w:ascii="楷体_GB2312" w:hAnsi="楷体_GB2312" w:eastAsia="楷体_GB2312"/>
      <w:sz w:val="32"/>
    </w:rPr>
  </w:style>
  <w:style w:type="character" w:customStyle="1" w:styleId="33">
    <w:name w:val="NormalCharacter"/>
    <w:qFormat/>
    <w:uiPriority w:val="0"/>
  </w:style>
  <w:style w:type="paragraph" w:customStyle="1" w:styleId="34">
    <w:name w:val="BodyText"/>
    <w:basedOn w:val="1"/>
    <w:qFormat/>
    <w:uiPriority w:val="99"/>
    <w:pPr>
      <w:textAlignment w:val="baseline"/>
    </w:pPr>
    <w:rPr>
      <w:sz w:val="32"/>
      <w:szCs w:val="32"/>
    </w:rPr>
  </w:style>
  <w:style w:type="paragraph" w:customStyle="1" w:styleId="35">
    <w:name w:val="p1"/>
    <w:basedOn w:val="1"/>
    <w:qFormat/>
    <w:uiPriority w:val="0"/>
    <w:rPr>
      <w:rFonts w:ascii="Helvetica" w:hAnsi="Helvetica" w:eastAsia="Helvetica"/>
      <w:sz w:val="32"/>
      <w:szCs w:val="32"/>
    </w:rPr>
  </w:style>
  <w:style w:type="paragraph" w:customStyle="1" w:styleId="36">
    <w:name w:val="Body text (2)"/>
    <w:link w:val="37"/>
    <w:qFormat/>
    <w:uiPriority w:val="99"/>
    <w:pPr>
      <w:shd w:val="clear" w:color="auto" w:fill="FFFFFF"/>
      <w:spacing w:line="547" w:lineRule="exact"/>
      <w:jc w:val="distribute"/>
    </w:pPr>
    <w:rPr>
      <w:rFonts w:ascii="MingLiU" w:hAnsi="MingLiU" w:eastAsia="MingLiU" w:cs="宋体"/>
      <w:spacing w:val="20"/>
      <w:kern w:val="2"/>
      <w:sz w:val="28"/>
      <w:szCs w:val="22"/>
      <w:lang w:val="en-US" w:eastAsia="zh-CN" w:bidi="ar-SA"/>
    </w:rPr>
  </w:style>
  <w:style w:type="character" w:customStyle="1" w:styleId="37">
    <w:name w:val="Body text (2)_"/>
    <w:basedOn w:val="25"/>
    <w:link w:val="36"/>
    <w:qFormat/>
    <w:uiPriority w:val="99"/>
    <w:rPr>
      <w:rFonts w:ascii="MingLiU" w:hAnsi="MingLiU" w:eastAsia="MingLiU" w:cs="宋体"/>
      <w:spacing w:val="20"/>
      <w:kern w:val="2"/>
      <w:sz w:val="28"/>
      <w:szCs w:val="22"/>
    </w:rPr>
  </w:style>
  <w:style w:type="paragraph" w:customStyle="1" w:styleId="38">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39">
    <w:name w:val="p2"/>
    <w:basedOn w:val="1"/>
    <w:qFormat/>
    <w:uiPriority w:val="0"/>
    <w:rPr>
      <w:rFonts w:ascii="Helvetica" w:hAnsi="Helvetica" w:eastAsia="Helvetica"/>
      <w:sz w:val="28"/>
      <w:szCs w:val="28"/>
    </w:rPr>
  </w:style>
  <w:style w:type="character" w:customStyle="1" w:styleId="40">
    <w:name w:val="未处理的提及1"/>
    <w:basedOn w:val="25"/>
    <w:semiHidden/>
    <w:unhideWhenUsed/>
    <w:qFormat/>
    <w:uiPriority w:val="99"/>
    <w:rPr>
      <w:color w:val="605E5C"/>
      <w:shd w:val="clear" w:color="auto" w:fill="E1DFDD"/>
    </w:rPr>
  </w:style>
  <w:style w:type="paragraph" w:customStyle="1" w:styleId="41">
    <w:name w:val="表格"/>
    <w:basedOn w:val="1"/>
    <w:qFormat/>
    <w:uiPriority w:val="0"/>
    <w:pPr>
      <w:widowControl w:val="0"/>
      <w:ind w:firstLine="0" w:firstLineChars="0"/>
      <w:jc w:val="center"/>
    </w:pPr>
    <w:rPr>
      <w:rFonts w:hint="eastAsia" w:ascii="黑体" w:hAnsi="黑体" w:eastAsia="黑体" w:cs="黑体"/>
      <w:sz w:val="30"/>
      <w:szCs w:val="32"/>
    </w:rPr>
  </w:style>
  <w:style w:type="paragraph" w:customStyle="1" w:styleId="42">
    <w:name w:val="图片"/>
    <w:basedOn w:val="1"/>
    <w:qFormat/>
    <w:uiPriority w:val="0"/>
    <w:pPr>
      <w:widowControl w:val="0"/>
      <w:spacing w:line="560" w:lineRule="exact"/>
      <w:ind w:firstLine="0" w:firstLineChars="0"/>
      <w:jc w:val="center"/>
    </w:pPr>
    <w:rPr>
      <w:rFonts w:ascii="黑体" w:hAnsi="黑体" w:eastAsia="黑体" w:cs="Times New Roman Regular"/>
      <w:bCs/>
      <w:color w:val="000000" w:themeColor="text1"/>
      <w:sz w:val="28"/>
      <w:szCs w:val="28"/>
      <w:shd w:val="clear" w:color="auto" w:fill="FFFFFF"/>
      <w14:textFill>
        <w14:solidFill>
          <w14:schemeClr w14:val="tx1"/>
        </w14:solidFill>
      </w14:textFill>
    </w:rPr>
  </w:style>
  <w:style w:type="character" w:customStyle="1" w:styleId="43">
    <w:name w:val="脚注文本 Char"/>
    <w:link w:val="18"/>
    <w:qFormat/>
    <w:uiPriority w:val="99"/>
    <w:rPr>
      <w:rFonts w:ascii="宋体" w:hAnsi="宋体" w:eastAsia="宋体" w:cs="宋体"/>
      <w:sz w:val="28"/>
      <w:szCs w:val="28"/>
      <w:vertAlign w:val="baseline"/>
      <w:lang w:val="en-US" w:eastAsia="zh-CN" w:bidi="ar-SA"/>
    </w:rPr>
  </w:style>
  <w:style w:type="table" w:customStyle="1" w:styleId="44">
    <w:name w:val="Table Normal"/>
    <w:semiHidden/>
    <w:unhideWhenUsed/>
    <w:qFormat/>
    <w:uiPriority w:val="0"/>
    <w:tblPr>
      <w:tblCellMar>
        <w:top w:w="0" w:type="dxa"/>
        <w:left w:w="0" w:type="dxa"/>
        <w:bottom w:w="0" w:type="dxa"/>
        <w:right w:w="0" w:type="dxa"/>
      </w:tblCellMar>
    </w:tblPr>
  </w:style>
  <w:style w:type="paragraph" w:customStyle="1" w:styleId="45">
    <w:name w:val="Table Text"/>
    <w:basedOn w:val="1"/>
    <w:semiHidden/>
    <w:qFormat/>
    <w:uiPriority w:val="0"/>
    <w:rPr>
      <w:rFonts w:ascii="方正仿宋_GBK" w:hAnsi="方正仿宋_GBK" w:eastAsia="方正仿宋_GBK" w:cs="方正仿宋_GBK"/>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e949ec6e-2e30-484d-931a-9dd254c8541d</errorID>
      <errorWord>美乡村建设</errorWord>
      <group>L1_Political</group>
      <groupName>政治性问题</groupName>
      <ability>L2_Keyword</ability>
      <abilityName>固定表述</abilityName>
      <candidateList>
        <item>美丽乡村建设</item>
      </candidateList>
      <explain>词汇“美丽乡村建设”在特定场景下为固定表述形式，请确认此处的“美乡村建设”是否存在不当。</explain>
      <paraID>4FF53221</paraID>
      <start>1</start>
      <end>6</end>
      <status>unmodified</status>
      <modifiedWord/>
      <trackRevisions>false</trackRevisions>
    </reviewItem>
    <reviewItem>
      <errorID>5b7afca5-ed46-491b-a983-8fc2cf22d34c</errorID>
      <errorWord>初现成效</errorWord>
      <group>L1_Word</group>
      <groupName>字词问题</groupName>
      <ability>L2_Typo</ability>
      <abilityName>字词错误</abilityName>
      <candidateList>
        <item>初见成效</item>
      </candidateList>
      <explain/>
      <paraID>4FF53221</paraID>
      <start>39</start>
      <end>43</end>
      <status>unmodified</status>
      <modifiedWord/>
      <trackRevisions>false</trackRevisions>
    </reviewItem>
    <reviewItem>
      <errorID>66d2f50c-1b53-4b3a-9abf-02180c6a415f</errorID>
      <errorWord>”</errorWord>
      <group>L1_Word</group>
      <groupName>字词问题</groupName>
      <ability>L2_Typo</ability>
      <abilityName>字词错误</abilityName>
      <candidateList>
        <item>”等</item>
      </candidateList>
      <explain/>
      <paraID>3AE04025</paraID>
      <start>153</start>
      <end>154</end>
      <status>unmodified</status>
      <modifiedWord/>
      <trackRevisions>false</trackRevisions>
    </reviewItem>
    <reviewItem>
      <errorID>f26dbeab-7333-4320-aa83-8637377924b2</errorID>
      <errorWord>中点</errorWord>
      <group>L1_Word</group>
      <groupName>字词问题</groupName>
      <ability>L2_Typo</ability>
      <abilityName>字词错误</abilityName>
      <candidateList>
        <item>重点</item>
      </candidateList>
      <explain/>
      <paraID>5D45EBC2</paraID>
      <start>103</start>
      <end>105</end>
      <status>modified</status>
      <modifiedWord>重点</modifiedWord>
      <trackRevisions>false</trackRevisions>
    </reviewItem>
    <reviewItem>
      <errorID>23349cc3-f6de-478a-9993-50a46eba73db</errorID>
      <errorWord>新</errorWord>
      <group>L1_Word</group>
      <groupName>字词问题</groupName>
      <ability>L2_Typo</ability>
      <abilityName>字词错误</abilityName>
      <candidateList>
        <item>新高</item>
      </candidateList>
      <explain/>
      <paraID>6FF3A391</paraID>
      <start>188</start>
      <end>189</end>
      <status>unmodified</status>
      <modifiedWord/>
      <trackRevisions>false</trackRevisions>
    </reviewItem>
    <reviewItem>
      <errorID>8971dd19-549d-4f66-8b3f-4f61e52f9589</errorID>
      <errorWord>*</errorWord>
      <group>L1_Punc</group>
      <groupName>标点问题</groupName>
      <ability>L2_Punc_CN</ability>
      <abilityName>标点符号问题</abilityName>
      <candidateList/>
      <explain/>
      <paraID> 4DB32D5</paraID>
      <start>0</start>
      <end>1</end>
      <status>unmodified</status>
      <modifiedWord/>
      <trackRevisions>false</trackRevisions>
    </reviewItem>
    <reviewItem>
      <errorID>fe9eb75f-f8d7-4565-a3be-4386d21d5ee7</errorID>
      <errorWord>乌头</errorWord>
      <group>L1_Word</group>
      <groupName>字词问题</groupName>
      <ability>L2_Typo</ability>
      <abilityName>字词错误</abilityName>
      <candidateList>
        <item>乌</item>
      </candidateList>
      <explain/>
      <paraID> AC7C2C9</paraID>
      <start>147</start>
      <end>149</end>
      <status>unmodified</status>
      <modifiedWord/>
      <trackRevisions>false</trackRevisions>
    </reviewItem>
    <reviewItem>
      <errorID>1a93e2e5-363d-4256-8fc2-10bd105047cd</errorID>
      <errorWord>十五五”时期</errorWord>
      <group>L1_Political</group>
      <groupName>政治性问题</groupName>
      <ability>L2_Keyword</ability>
      <abilityName>固定表述</abilityName>
      <candidateList>
        <item>“十五五”时期</item>
      </candidateList>
      <explain>注意检查当前固定表述标点是否使用规范。</explain>
      <paraID>3BFD9A0A</paraID>
      <start>11</start>
      <end>18</end>
      <status>modified</status>
      <modifiedWord>“十五五”时期</modifiedWord>
      <trackRevisions>false</trackRevisions>
    </reviewItem>
    <reviewItem>
      <errorID>b814fd4d-bd76-448c-9cc6-ba7c6a45f2c5</errorID>
      <errorWord>适度规模化经营</errorWord>
      <group>L1_Political</group>
      <groupName>政治性问题</groupName>
      <ability>L2_Keyword</ability>
      <abilityName>固定表述</abilityName>
      <candidateList>
        <item>适度规模经营</item>
      </candidateList>
      <explain>词汇“适度规模经营”在特定场景下为固定表述形式，请确认此处的“适度规模化经营”是否存在不当。</explain>
      <paraID>44DC4FC0</paraID>
      <start>32</start>
      <end>39</end>
      <status>unmodified</status>
      <modifiedWord/>
      <trackRevisions>false</trackRevisions>
    </reviewItem>
    <reviewItem>
      <errorID>2c3e6954-eeff-4ab7-bcf6-26dea27e95b3</errorID>
      <errorWord>，</errorWord>
      <group>L1_Word</group>
      <groupName>字词问题</groupName>
      <ability>L2_Typo</ability>
      <abilityName>字词错误</abilityName>
      <candidateList>
        <item>，成</item>
      </candidateList>
      <explain/>
      <paraID>3DBFF950</paraID>
      <start>120</start>
      <end>121</end>
      <status>unmodified</status>
      <modifiedWord/>
      <trackRevisions>false</trackRevisions>
    </reviewItem>
    <reviewItem>
      <errorID>0491bf54-cd52-4a6e-8413-de037f8917db</errorID>
      <errorWord>、和</errorWord>
      <group>L1_Punc</group>
      <groupName>标点问题</groupName>
      <ability>L2_Punc_CN</ability>
      <abilityName>标点符号问题</abilityName>
      <candidateList>
        <item>和</item>
      </candidateList>
      <explain>“及”“和”“等”连词前不宜使用顿号，建议删除（或使用逗号）。</explain>
      <paraID>693F2293</paraID>
      <start>147</start>
      <end>149</end>
      <status>unmodified</status>
      <modifiedWord/>
      <trackRevisions>false</trackRevisions>
    </reviewItem>
    <reviewItem>
      <errorID>0b90d237-2ea8-4ec1-b638-9d4fa6926cc4</errorID>
      <errorWord>“三权”分置</errorWord>
      <group>L1_Political</group>
      <groupName>政治性问题</groupName>
      <ability>L2_Keyword</ability>
      <abilityName>固定表述</abilityName>
      <candidateList>
        <item>“三权分置”</item>
      </candidateList>
      <explain>注意检查当前固定表述标点是否使用规范。</explain>
      <paraID>6D764E51</paraID>
      <start>203</start>
      <end>209</end>
      <status>unmodified</status>
      <modifiedWord/>
      <trackRevisions>false</trackRevisions>
    </reviewItem>
    <reviewItem>
      <errorID>7018f1f5-fc1d-4da3-ade8-bee8d7c7f1c6</errorID>
      <errorWord>普惠托幼</errorWord>
      <group>L1_Word</group>
      <groupName>字词问题</groupName>
      <ability>L2_Typo</ability>
      <abilityName>字词错误</abilityName>
      <candidateList>
        <item>普惠托育</item>
      </candidateList>
      <explain/>
      <paraID>36F1B4D2</paraID>
      <start>48</start>
      <end>52</end>
      <status>unmodified</status>
      <modifiedWord/>
      <trackRevisions>false</trackRevisions>
    </reviewItem>
    <reviewItem>
      <errorID>e1d9e2f0-a403-4b48-9784-5e61ba31571f</errorID>
      <errorWord>政治</errorWord>
      <group>L1_Word</group>
      <groupName>字词问题</groupName>
      <ability>L2_Typo</ability>
      <abilityName>字词错误</abilityName>
      <candidateList>
        <item>整治</item>
      </candidateList>
      <explain>存在发音相同字词的误用。</explain>
      <paraID>6798A5C7</paraID>
      <start>169</start>
      <end>171</end>
      <status>unmodified</status>
      <modifiedWord/>
      <trackRevisions>false</trackRevisions>
    </reviewItem>
    <reviewItem>
      <errorID>6d1de2cb-25c1-49b8-abf5-2cf16badd39f</errorID>
      <errorWord>的种</errorWord>
      <group>L1_Word</group>
      <groupName>字词问题</groupName>
      <ability>L2_Typo</ability>
      <abilityName>字词错误</abilityName>
      <candidateList>
        <item>的</item>
      </candidateList>
      <explain>“的”常用于连接修饰语与名词性中心语，表示属性、所属或描述。</explain>
      <paraID> 3AE971B</paraID>
      <start>7</start>
      <end>9</end>
      <status>unmodified</status>
      <modifiedWord/>
      <trackRevisions>false</trackRevisions>
    </reviewItem>
    <reviewItem>
      <errorID>21e20d7f-50aa-4a1c-a51c-0ea7bfc60413</errorID>
      <errorWord>巴士杀菌</errorWord>
      <group>L1_Word</group>
      <groupName>字词问题</groupName>
      <ability>L2_Typo</ability>
      <abilityName>字词错误</abilityName>
      <candidateList>
        <item>巴氏杀菌</item>
      </candidateList>
      <explain/>
      <paraID>6754110A</paraID>
      <start>67</start>
      <end>71</end>
      <status>modified</status>
      <modifiedWord>巴氏杀菌</modifiedWord>
      <trackRevisions>false</trackRevisions>
    </reviewItem>
    <reviewItem>
      <errorID>6d70c3db-8bc4-4005-87d9-f14a4604c671</errorID>
      <errorWord>灌装饮料</errorWord>
      <group>L1_Word</group>
      <groupName>字词问题</groupName>
      <ability>L2_Typo</ability>
      <abilityName>字词错误</abilityName>
      <candidateList>
        <item>罐装饮料</item>
      </candidateList>
      <explain/>
      <paraID>4D8A2601</paraID>
      <start>62</start>
      <end>66</end>
      <status>unmodified</status>
      <modifiedWord/>
      <trackRevisions>false</trackRevisions>
    </reviewItem>
    <reviewItem>
      <errorID>277e8dc5-a361-4478-b90a-ced4da4628a1</errorID>
      <errorWord>亟须</errorWord>
      <group>L1_Word</group>
      <groupName>字词问题</groupName>
      <ability>L2_Typo</ability>
      <abilityName>字词错误</abilityName>
      <candidateList>
        <item>亟需</item>
      </candidateList>
      <explain>存在发音相同字词的误用。</explain>
      <paraID>6A01D863</paraID>
      <start>222</start>
      <end>224</end>
      <status>modified</status>
      <modifiedWord>亟需</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a3dd2d-1bba-4a81-ac22-0f385f8fcdab}">
  <ds:schemaRefs/>
</ds:datastoreItem>
</file>

<file path=docProps/app.xml><?xml version="1.0" encoding="utf-8"?>
<Properties xmlns="http://schemas.openxmlformats.org/officeDocument/2006/extended-properties" xmlns:vt="http://schemas.openxmlformats.org/officeDocument/2006/docPropsVTypes">
  <Template>Normal.dotm</Template>
  <Pages>96</Pages>
  <Words>12508</Words>
  <Characters>13200</Characters>
  <Lines>447</Lines>
  <Paragraphs>125</Paragraphs>
  <TotalTime>171</TotalTime>
  <ScaleCrop>false</ScaleCrop>
  <LinksUpToDate>false</LinksUpToDate>
  <CharactersWithSpaces>13467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2025-10-21T20:48:00Z</dcterms:created>
  <dc:creator>娟</dc:creator>
  <cp:lastModifiedBy>姜向东</cp:lastModifiedBy>
  <cp:lastPrinted>2026-05-14T06:32:00Z</cp:lastPrinted>
  <dcterms:modified xsi:type="dcterms:W3CDTF">2026-06-24T02:57:36Z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20B2DED51B4040A08F2FBA62031CA0B7_13</vt:lpwstr>
  </property>
  <property fmtid="{D5CDD505-2E9C-101B-9397-08002B2CF9AE}" pid="4" name="KSOTemplateDocerSaveRecord">
    <vt:lpwstr>eyJoZGlkIjoiNGM5NjIzNzM3YWM4ZTRhY2FjZjI1ZDk0YTI5NWM2ZmIiLCJ1c2VySWQiOiIxNzEzNjE2NjY4In0=</vt:lpwstr>
  </property>
</Properties>
</file>